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94556">
        <w:trPr>
          <w:trHeight w:val="295"/>
          <w:jc w:val="center"/>
        </w:trPr>
        <w:tc>
          <w:tcPr>
            <w:tcW w:w="5049" w:type="dxa"/>
            <w:gridSpan w:val="3"/>
          </w:tcPr>
          <w:p w:rsidR="00694556" w:rsidRDefault="00884E93">
            <w:pPr>
              <w:rPr>
                <w:rFonts w:ascii="Arial" w:hAnsi="Arial"/>
                <w:b/>
                <w:bCs/>
                <w:noProof w:val="0"/>
                <w:sz w:val="26"/>
                <w:szCs w:val="26"/>
                <w:rtl/>
              </w:rPr>
            </w:pPr>
            <w:bookmarkStart w:id="0" w:name="_GoBack"/>
            <w:bookmarkEnd w:id="0"/>
            <w:r>
              <w:rPr>
                <w:rFonts w:ascii="Arial" w:hAnsi="Arial" w:hint="cs"/>
                <w:b/>
                <w:bCs/>
                <w:noProof w:val="0"/>
                <w:sz w:val="26"/>
                <w:szCs w:val="26"/>
                <w:rtl/>
              </w:rPr>
              <w:t xml:space="preserve">בפני כב' השופט אביגדור דורות </w:t>
            </w:r>
          </w:p>
        </w:tc>
        <w:tc>
          <w:tcPr>
            <w:tcW w:w="3771" w:type="dxa"/>
          </w:tcPr>
          <w:p w:rsidR="00694556" w:rsidRDefault="00005C8B"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254251292"/>
                <w:text w:multiLine="1"/>
              </w:sdtPr>
              <w:sdtEndPr/>
              <w:sdtContent>
                <w:r>
                  <w:rPr>
                    <w:rFonts w:ascii="Arial" w:hAnsi="Arial"/>
                    <w:b/>
                    <w:bCs/>
                    <w:noProof w:val="0"/>
                    <w:sz w:val="26"/>
                    <w:szCs w:val="26"/>
                    <w:rtl/>
                  </w:rPr>
                  <w:t>59</w:t>
                </w:r>
              </w:sdtContent>
            </w:sdt>
          </w:p>
        </w:tc>
      </w:tr>
      <w:tr w:rsidR="00694556">
        <w:trPr>
          <w:jc w:val="center"/>
        </w:trPr>
        <w:tc>
          <w:tcPr>
            <w:tcW w:w="743" w:type="dxa"/>
          </w:tcPr>
          <w:p w:rsidR="00694556" w:rsidRDefault="00694556">
            <w:pPr>
              <w:jc w:val="both"/>
              <w:rPr>
                <w:rFonts w:ascii="Arial" w:hAnsi="Arial"/>
                <w:b/>
                <w:bCs/>
              </w:rPr>
            </w:pPr>
          </w:p>
        </w:tc>
        <w:tc>
          <w:tcPr>
            <w:tcW w:w="8077" w:type="dxa"/>
            <w:gridSpan w:val="3"/>
          </w:tcPr>
          <w:p w:rsidR="00694556" w:rsidRDefault="00694556" w:rsidP="00884E93">
            <w:pPr>
              <w:rPr>
                <w:rFonts w:ascii="Arial" w:hAnsi="Arial" w:cs="FrankRuehl"/>
                <w:sz w:val="28"/>
                <w:szCs w:val="28"/>
                <w:highlight w:val="yellow"/>
              </w:rPr>
            </w:pPr>
          </w:p>
        </w:tc>
      </w:tr>
      <w:tr w:rsidR="00694556">
        <w:trPr>
          <w:jc w:val="center"/>
        </w:trPr>
        <w:tc>
          <w:tcPr>
            <w:tcW w:w="3249" w:type="dxa"/>
            <w:gridSpan w:val="2"/>
          </w:tcPr>
          <w:p w:rsidR="00410E5E" w:rsidRDefault="004B79B1">
            <w:pPr>
              <w:bidi w:val="0"/>
              <w:jc w:val="right"/>
              <w:rPr>
                <w:rFonts w:ascii="Arial" w:hAnsi="Arial"/>
                <w:b/>
                <w:bCs/>
                <w:noProof w:val="0"/>
                <w:sz w:val="26"/>
                <w:szCs w:val="26"/>
              </w:rPr>
            </w:pPr>
            <w:r>
              <w:rPr>
                <w:rFonts w:ascii="Arial" w:hAnsi="Arial" w:hint="cs"/>
                <w:b/>
                <w:bCs/>
                <w:noProof w:val="0"/>
                <w:sz w:val="26"/>
                <w:szCs w:val="26"/>
                <w:rtl/>
              </w:rPr>
              <w:t>המבקשת</w:t>
            </w:r>
            <w:r w:rsidR="00884E93">
              <w:rPr>
                <w:rFonts w:ascii="Arial" w:hAnsi="Arial" w:hint="cs"/>
                <w:b/>
                <w:bCs/>
                <w:noProof w:val="0"/>
                <w:sz w:val="26"/>
                <w:szCs w:val="26"/>
                <w:rtl/>
              </w:rPr>
              <w:t>:</w:t>
            </w:r>
          </w:p>
        </w:tc>
        <w:tc>
          <w:tcPr>
            <w:tcW w:w="5571" w:type="dxa"/>
            <w:gridSpan w:val="2"/>
          </w:tcPr>
          <w:p w:rsidR="00694556" w:rsidRDefault="00DD7EEC" w:rsidP="004B79B1">
            <w:pPr>
              <w:rPr>
                <w:rtl/>
              </w:rPr>
            </w:pPr>
            <w:sdt>
              <w:sdtPr>
                <w:rPr>
                  <w:rtl/>
                </w:rPr>
                <w:alias w:val="1478"/>
                <w:tag w:val="1478"/>
                <w:id w:val="1116561898"/>
                <w:text w:multiLine="1"/>
              </w:sdtPr>
              <w:sdtEndPr/>
              <w:sdtContent>
                <w:r w:rsidR="00D06F79">
                  <w:rPr>
                    <w:rFonts w:ascii="Arial" w:hAnsi="Arial"/>
                    <w:b/>
                    <w:bCs/>
                    <w:noProof w:val="0"/>
                    <w:sz w:val="26"/>
                    <w:szCs w:val="26"/>
                    <w:rtl/>
                  </w:rPr>
                  <w:t>יצחק י</w:t>
                </w:r>
                <w:r w:rsidR="004B79B1">
                  <w:rPr>
                    <w:rFonts w:ascii="Arial" w:hAnsi="Arial" w:hint="cs"/>
                    <w:b/>
                    <w:bCs/>
                    <w:noProof w:val="0"/>
                    <w:sz w:val="26"/>
                    <w:szCs w:val="26"/>
                    <w:rtl/>
                  </w:rPr>
                  <w:t>.</w:t>
                </w:r>
                <w:r w:rsidR="00D06F79">
                  <w:rPr>
                    <w:rFonts w:ascii="Arial" w:hAnsi="Arial"/>
                    <w:b/>
                    <w:bCs/>
                    <w:noProof w:val="0"/>
                    <w:sz w:val="26"/>
                    <w:szCs w:val="26"/>
                    <w:rtl/>
                  </w:rPr>
                  <w:t xml:space="preserve"> גליק בע</w:t>
                </w:r>
                <w:r w:rsidR="004B79B1">
                  <w:rPr>
                    <w:rFonts w:ascii="Arial" w:hAnsi="Arial" w:hint="cs"/>
                    <w:b/>
                    <w:bCs/>
                    <w:noProof w:val="0"/>
                    <w:sz w:val="26"/>
                    <w:szCs w:val="26"/>
                    <w:rtl/>
                  </w:rPr>
                  <w:t>"</w:t>
                </w:r>
                <w:r w:rsidR="00D06F79">
                  <w:rPr>
                    <w:rFonts w:ascii="Arial" w:hAnsi="Arial"/>
                    <w:b/>
                    <w:bCs/>
                    <w:noProof w:val="0"/>
                    <w:sz w:val="26"/>
                    <w:szCs w:val="26"/>
                    <w:rtl/>
                  </w:rPr>
                  <w:t>מ</w:t>
                </w:r>
              </w:sdtContent>
            </w:sdt>
          </w:p>
          <w:p w:rsidR="004B79B1" w:rsidRPr="004B79B1" w:rsidRDefault="004B79B1">
            <w:pPr>
              <w:rPr>
                <w:noProof w:val="0"/>
                <w:sz w:val="26"/>
                <w:szCs w:val="26"/>
              </w:rPr>
            </w:pPr>
            <w:r w:rsidRPr="004B79B1">
              <w:rPr>
                <w:rFonts w:hint="cs"/>
                <w:sz w:val="26"/>
                <w:szCs w:val="26"/>
                <w:rtl/>
              </w:rPr>
              <w:t>ע"י ב"כ עו"ד רני שוורץ</w:t>
            </w:r>
          </w:p>
        </w:tc>
      </w:tr>
      <w:tr w:rsidR="00694556">
        <w:trPr>
          <w:jc w:val="center"/>
        </w:trPr>
        <w:tc>
          <w:tcPr>
            <w:tcW w:w="8820" w:type="dxa"/>
            <w:gridSpan w:val="4"/>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DD7EEC" w:rsidP="004B79B1">
            <w:pPr>
              <w:rPr>
                <w:rFonts w:ascii="Arial" w:hAnsi="Arial"/>
                <w:b/>
                <w:bCs/>
                <w:noProof w:val="0"/>
                <w:sz w:val="26"/>
                <w:szCs w:val="26"/>
              </w:rPr>
            </w:pPr>
            <w:sdt>
              <w:sdtPr>
                <w:rPr>
                  <w:rtl/>
                </w:rPr>
                <w:alias w:val="1184"/>
                <w:tag w:val="1184"/>
                <w:id w:val="-358204077"/>
                <w:text w:multiLine="1"/>
              </w:sdtPr>
              <w:sdtEndPr/>
              <w:sdtContent>
                <w:r w:rsidR="004B79B1">
                  <w:rPr>
                    <w:rFonts w:ascii="Arial" w:hAnsi="Arial" w:hint="cs"/>
                    <w:b/>
                    <w:bCs/>
                    <w:noProof w:val="0"/>
                    <w:sz w:val="26"/>
                    <w:szCs w:val="26"/>
                    <w:rtl/>
                  </w:rPr>
                  <w:t>המ</w:t>
                </w:r>
                <w:r w:rsidR="00D06F79">
                  <w:rPr>
                    <w:rFonts w:ascii="Arial" w:hAnsi="Arial"/>
                    <w:b/>
                    <w:bCs/>
                    <w:noProof w:val="0"/>
                    <w:sz w:val="26"/>
                    <w:szCs w:val="26"/>
                    <w:rtl/>
                  </w:rPr>
                  <w:t>שיב</w:t>
                </w:r>
                <w:r w:rsidR="00884E93">
                  <w:rPr>
                    <w:rFonts w:ascii="Arial" w:hAnsi="Arial" w:hint="cs"/>
                    <w:b/>
                    <w:bCs/>
                    <w:noProof w:val="0"/>
                    <w:sz w:val="26"/>
                    <w:szCs w:val="26"/>
                    <w:rtl/>
                  </w:rPr>
                  <w:t>:</w:t>
                </w:r>
                <w:r w:rsidR="004B79B1">
                  <w:rPr>
                    <w:rFonts w:ascii="Arial" w:hAnsi="Arial"/>
                    <w:b/>
                    <w:bCs/>
                    <w:noProof w:val="0"/>
                    <w:sz w:val="26"/>
                    <w:szCs w:val="26"/>
                    <w:rtl/>
                  </w:rPr>
                  <w:br/>
                </w:r>
              </w:sdtContent>
            </w:sdt>
          </w:p>
        </w:tc>
        <w:tc>
          <w:tcPr>
            <w:tcW w:w="5571" w:type="dxa"/>
            <w:gridSpan w:val="2"/>
          </w:tcPr>
          <w:p w:rsidR="00694556" w:rsidRDefault="004B79B1">
            <w:pPr>
              <w:rPr>
                <w:b/>
                <w:bCs/>
                <w:noProof w:val="0"/>
                <w:sz w:val="26"/>
                <w:szCs w:val="26"/>
                <w:rtl/>
              </w:rPr>
            </w:pPr>
            <w:r>
              <w:rPr>
                <w:rFonts w:hint="cs"/>
                <w:b/>
                <w:bCs/>
                <w:noProof w:val="0"/>
                <w:sz w:val="26"/>
                <w:szCs w:val="26"/>
                <w:rtl/>
              </w:rPr>
              <w:t>פקיד שומה ירושלים 1</w:t>
            </w:r>
          </w:p>
          <w:p w:rsidR="004B79B1" w:rsidRPr="004B79B1" w:rsidRDefault="004B79B1" w:rsidP="004B79B1">
            <w:pPr>
              <w:rPr>
                <w:noProof w:val="0"/>
                <w:sz w:val="26"/>
                <w:szCs w:val="26"/>
                <w:rtl/>
              </w:rPr>
            </w:pPr>
            <w:r w:rsidRPr="004B79B1">
              <w:rPr>
                <w:rFonts w:hint="cs"/>
                <w:noProof w:val="0"/>
                <w:sz w:val="26"/>
                <w:szCs w:val="26"/>
                <w:rtl/>
              </w:rPr>
              <w:t xml:space="preserve">ע"י ב"כ עו"ד חגי דומברוביץ </w:t>
            </w:r>
          </w:p>
          <w:p w:rsidR="004B79B1" w:rsidRDefault="004B79B1" w:rsidP="004B79B1">
            <w:pPr>
              <w:rPr>
                <w:b/>
                <w:bCs/>
                <w:noProof w:val="0"/>
                <w:sz w:val="26"/>
                <w:szCs w:val="26"/>
                <w:rtl/>
              </w:rPr>
            </w:pPr>
            <w:r w:rsidRPr="004B79B1">
              <w:rPr>
                <w:rFonts w:hint="cs"/>
                <w:noProof w:val="0"/>
                <w:sz w:val="26"/>
                <w:szCs w:val="26"/>
                <w:rtl/>
              </w:rPr>
              <w:t>מפרקליטות מחוז ירושלים (אזרחי)</w:t>
            </w:r>
          </w:p>
        </w:tc>
      </w:tr>
    </w:tbl>
    <w:p w:rsidR="00694556" w:rsidRPr="004B79B1"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4B79B1" w:rsidRDefault="004B79B1" w:rsidP="004B79B1">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המבקשת הגישה בקשה לחייב את המשיב בתשלום הוצאות ("חלקיות בלבד") בגין הנזקים הישירים שנגרמו לה כתוצאה מעיקולים שהוטלו לפי סעיף 194 לפקודת מס הכנסה [נוסח חדש], התשכ"א </w:t>
      </w:r>
      <w:r>
        <w:rPr>
          <w:rFonts w:ascii="Arial" w:hAnsi="Arial"/>
          <w:noProof w:val="0"/>
          <w:rtl/>
        </w:rPr>
        <w:t>–</w:t>
      </w:r>
      <w:r>
        <w:rPr>
          <w:rFonts w:ascii="Arial" w:hAnsi="Arial" w:hint="cs"/>
          <w:noProof w:val="0"/>
          <w:rtl/>
        </w:rPr>
        <w:t xml:space="preserve"> 1961 (להלן: "</w:t>
      </w:r>
      <w:r w:rsidRPr="004B79B1">
        <w:rPr>
          <w:rFonts w:ascii="Arial" w:hAnsi="Arial" w:hint="cs"/>
          <w:b/>
          <w:bCs/>
          <w:noProof w:val="0"/>
          <w:rtl/>
        </w:rPr>
        <w:t>הפקודה</w:t>
      </w:r>
      <w:r>
        <w:rPr>
          <w:rFonts w:ascii="Arial" w:hAnsi="Arial" w:hint="cs"/>
          <w:noProof w:val="0"/>
          <w:rtl/>
        </w:rPr>
        <w:t xml:space="preserve">"). </w:t>
      </w:r>
    </w:p>
    <w:p w:rsidR="004B79B1" w:rsidRDefault="004B79B1" w:rsidP="004B79B1">
      <w:pPr>
        <w:spacing w:line="360" w:lineRule="auto"/>
        <w:ind w:left="720" w:hanging="720"/>
        <w:jc w:val="both"/>
        <w:rPr>
          <w:rFonts w:ascii="Arial" w:hAnsi="Arial"/>
          <w:noProof w:val="0"/>
          <w:rtl/>
        </w:rPr>
      </w:pPr>
    </w:p>
    <w:p w:rsidR="004B79B1" w:rsidRDefault="004B79B1" w:rsidP="003856EE">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4D4FB8">
        <w:rPr>
          <w:rFonts w:ascii="Arial" w:hAnsi="Arial" w:hint="cs"/>
          <w:noProof w:val="0"/>
          <w:rtl/>
        </w:rPr>
        <w:t xml:space="preserve">ברקע הדברים יצוין, כי </w:t>
      </w:r>
      <w:r>
        <w:rPr>
          <w:rFonts w:ascii="Arial" w:hAnsi="Arial" w:hint="cs"/>
          <w:noProof w:val="0"/>
          <w:rtl/>
        </w:rPr>
        <w:t>המבקשת הגישה ערעור על צווים שהוציא לה המשיב, על פי סעיף 152(ב) לפקודה המתייחסים לשנות המס 20</w:t>
      </w:r>
      <w:r w:rsidR="003856EE">
        <w:rPr>
          <w:rFonts w:ascii="Arial" w:hAnsi="Arial" w:hint="cs"/>
          <w:noProof w:val="0"/>
          <w:rtl/>
        </w:rPr>
        <w:t xml:space="preserve">11-2012. ביחס לשנת 2012 דרש המשיב מן המבקשת תשלום מס הכנסה בסדר גודל של כ-5 מיליון ₪, וכן הפרשי הצמדה, ריבית וקנסות. </w:t>
      </w:r>
    </w:p>
    <w:p w:rsidR="003856EE" w:rsidRDefault="003856EE" w:rsidP="003856EE">
      <w:pPr>
        <w:spacing w:line="360" w:lineRule="auto"/>
        <w:ind w:left="720" w:hanging="720"/>
        <w:jc w:val="both"/>
        <w:rPr>
          <w:rFonts w:ascii="Arial" w:hAnsi="Arial"/>
          <w:noProof w:val="0"/>
          <w:rtl/>
        </w:rPr>
      </w:pPr>
    </w:p>
    <w:p w:rsidR="003856EE" w:rsidRDefault="003856EE" w:rsidP="00884E93">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המשיב הגיש בקשה דחופה במעמד צד אחד לפי סעיף 194 לפקודה, להטלת עיקול על זכויות המבקשת אצל מחזיקים שונים. ביום 24.2.19 ניתנו צווים ארעיים כמבוקש, ומאוחר יותר ביקש המשיב כי יוטלו עיקולים נוספים להבטחת תשלום חובות המס של המבקשת. ביום 22.12.19 התקיים דיון בכל הנוגע לעיקולים לפי סעיף 194 לפקודה</w:t>
      </w:r>
      <w:r w:rsidR="00884E93">
        <w:rPr>
          <w:rFonts w:ascii="Arial" w:hAnsi="Arial" w:hint="cs"/>
          <w:noProof w:val="0"/>
          <w:rtl/>
        </w:rPr>
        <w:t>.</w:t>
      </w:r>
      <w:r>
        <w:rPr>
          <w:rFonts w:ascii="Arial" w:hAnsi="Arial" w:hint="cs"/>
          <w:noProof w:val="0"/>
          <w:rtl/>
        </w:rPr>
        <w:t xml:space="preserve"> לאחר שהתברר כי לא הושגה הסכמה בין הצדדים, הוחלט ביום 26.1.20 להטיל עיקול על זכויות המבקשת בשני נכסי מקרקעי</w:t>
      </w:r>
      <w:r w:rsidR="00884E93">
        <w:rPr>
          <w:rFonts w:ascii="Arial" w:hAnsi="Arial" w:hint="cs"/>
          <w:noProof w:val="0"/>
          <w:rtl/>
        </w:rPr>
        <w:t>ן</w:t>
      </w:r>
      <w:r>
        <w:rPr>
          <w:rFonts w:ascii="Arial" w:hAnsi="Arial" w:hint="cs"/>
          <w:noProof w:val="0"/>
          <w:rtl/>
        </w:rPr>
        <w:t>. ביום 7.2.20 הוגשה בקשה</w:t>
      </w:r>
      <w:r w:rsidR="00884E93">
        <w:rPr>
          <w:rFonts w:ascii="Arial" w:hAnsi="Arial" w:hint="cs"/>
          <w:noProof w:val="0"/>
          <w:rtl/>
        </w:rPr>
        <w:t xml:space="preserve"> מטעם המבקשת</w:t>
      </w:r>
      <w:r>
        <w:rPr>
          <w:rFonts w:ascii="Arial" w:hAnsi="Arial" w:hint="cs"/>
          <w:noProof w:val="0"/>
          <w:rtl/>
        </w:rPr>
        <w:t xml:space="preserve"> בגדרה התבקש המשיב להחזיר למבקשת </w:t>
      </w:r>
      <w:r>
        <w:rPr>
          <w:rFonts w:ascii="Arial" w:hAnsi="Arial" w:hint="cs"/>
          <w:noProof w:val="0"/>
          <w:rtl/>
        </w:rPr>
        <w:lastRenderedPageBreak/>
        <w:t>את הכספים שעוכבו במס הכנסה, במשרד מיסוי מקרקעין וכן להמציא אישור לשחרור כספים שעוכבו אצל עו"ד משה פריש. בתגובת המשיב נטען כי אין בעיקולים שהוטלו על שני הנכסים הנ"ל כדי להוות בטוחה משמעותית לתשלום המס, ככל שהערעור על הצווים ידחה. נקבע כי אין להיעתר לבקשה להחזר הכספים המעוכבים במס הכנסה ובמיסוי מקרקעין, כמו גם ביחס לסכום שעוכב אצל עו"ד פריש. יחד עם זאת נקבע, כי לא ניתן להיעתר לבקשת המשיב כי תינתן למבקשת הוראה להפ</w:t>
      </w:r>
      <w:r w:rsidR="00884E93">
        <w:rPr>
          <w:rFonts w:ascii="Arial" w:hAnsi="Arial" w:hint="cs"/>
          <w:noProof w:val="0"/>
          <w:rtl/>
        </w:rPr>
        <w:t>ק</w:t>
      </w:r>
      <w:r>
        <w:rPr>
          <w:rFonts w:ascii="Arial" w:hAnsi="Arial" w:hint="cs"/>
          <w:noProof w:val="0"/>
          <w:rtl/>
        </w:rPr>
        <w:t xml:space="preserve">יד בקופת בית המשפט סך של כ-7 מיליון ₪ עד לפסק הדין בערעור על הצווים. </w:t>
      </w:r>
    </w:p>
    <w:p w:rsidR="00956836" w:rsidRDefault="00956836" w:rsidP="003856EE">
      <w:pPr>
        <w:spacing w:line="360" w:lineRule="auto"/>
        <w:ind w:left="720" w:hanging="720"/>
        <w:jc w:val="both"/>
        <w:rPr>
          <w:rFonts w:ascii="Arial" w:hAnsi="Arial"/>
          <w:noProof w:val="0"/>
          <w:rtl/>
        </w:rPr>
      </w:pPr>
    </w:p>
    <w:p w:rsidR="00956836" w:rsidRDefault="00956836" w:rsidP="00956836">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ביום 17.9.24 ניתן פסק הדין בערעור</w:t>
      </w:r>
      <w:r w:rsidR="00884E93">
        <w:rPr>
          <w:rFonts w:ascii="Arial" w:hAnsi="Arial" w:hint="cs"/>
          <w:noProof w:val="0"/>
          <w:rtl/>
        </w:rPr>
        <w:t>,</w:t>
      </w:r>
      <w:r>
        <w:rPr>
          <w:rFonts w:ascii="Arial" w:hAnsi="Arial" w:hint="cs"/>
          <w:noProof w:val="0"/>
          <w:rtl/>
        </w:rPr>
        <w:t xml:space="preserve"> שתוצאתו היא כי המבקשת אינה חייבת מס הכנסה כלל</w:t>
      </w:r>
      <w:r w:rsidR="00884E93">
        <w:rPr>
          <w:rFonts w:ascii="Arial" w:hAnsi="Arial" w:hint="cs"/>
          <w:noProof w:val="0"/>
          <w:rtl/>
        </w:rPr>
        <w:t xml:space="preserve"> לשנת 2012</w:t>
      </w:r>
      <w:r>
        <w:rPr>
          <w:rFonts w:ascii="Arial" w:hAnsi="Arial" w:hint="cs"/>
          <w:noProof w:val="0"/>
          <w:rtl/>
        </w:rPr>
        <w:t>. ביום 29.9.24 בוטלו העיקולים שהוטלו על נכסי המערערת</w:t>
      </w:r>
      <w:r w:rsidR="004D4FB8">
        <w:rPr>
          <w:rFonts w:ascii="Arial" w:hAnsi="Arial" w:hint="cs"/>
          <w:noProof w:val="0"/>
          <w:rtl/>
        </w:rPr>
        <w:t>, בהסכמת המשיב</w:t>
      </w:r>
      <w:r>
        <w:rPr>
          <w:rFonts w:ascii="Arial" w:hAnsi="Arial" w:hint="cs"/>
          <w:noProof w:val="0"/>
          <w:rtl/>
        </w:rPr>
        <w:t xml:space="preserve">. </w:t>
      </w:r>
    </w:p>
    <w:p w:rsidR="00956836" w:rsidRDefault="00956836" w:rsidP="00956836">
      <w:pPr>
        <w:spacing w:line="360" w:lineRule="auto"/>
        <w:ind w:left="720" w:hanging="720"/>
        <w:jc w:val="both"/>
        <w:rPr>
          <w:rFonts w:ascii="Arial" w:hAnsi="Arial"/>
          <w:noProof w:val="0"/>
          <w:rtl/>
        </w:rPr>
      </w:pPr>
    </w:p>
    <w:p w:rsidR="00956836" w:rsidRDefault="00956836" w:rsidP="00956836">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 xml:space="preserve">בבקשה נטען כי למבקשת נגרמו הוצאות רבות הנובעות מהעיקולים והיא נאלצה להשקיע משאבים רבים שהוקדשו אך ורק לעניין הבטחת חוב השומה. בבקשה נטען כי נגרמו למבקשת הוצאות ישירות בסך מצטבר של 342,600 ₪ ששולמו למספר עורכי דין וכן לרואה חשבון. נטען כי בנוסף להוצאות הישירות שפורטו בבקשה, נגרמו למבקשת הוצאות עקיפות בסכומים משמעותיים בגין הטלת העיקולים, אשר הקשו על פעילותה בפן התזרימי וכן בשמה הטוב מול לקוחותיה ונותני האשראי. הוצאות עקיפות אלה לא פורטו בבקשה ולא התבקשה השבתם. </w:t>
      </w:r>
    </w:p>
    <w:p w:rsidR="00956836" w:rsidRDefault="00956836" w:rsidP="00956836">
      <w:pPr>
        <w:spacing w:line="360" w:lineRule="auto"/>
        <w:ind w:left="720" w:hanging="720"/>
        <w:jc w:val="both"/>
        <w:rPr>
          <w:rFonts w:ascii="Arial" w:hAnsi="Arial"/>
          <w:noProof w:val="0"/>
          <w:rtl/>
        </w:rPr>
      </w:pPr>
    </w:p>
    <w:p w:rsidR="00956836" w:rsidRDefault="00956836" w:rsidP="004D4FB8">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 xml:space="preserve">לאור התנגדות המשיב לבקשה, נקבע דיון שהתקיים ביום 2.1.25. בית משפט זה המליץ למבקשת </w:t>
      </w:r>
      <w:r w:rsidR="00CC15F9">
        <w:rPr>
          <w:rFonts w:ascii="Arial" w:hAnsi="Arial" w:hint="cs"/>
          <w:noProof w:val="0"/>
          <w:rtl/>
        </w:rPr>
        <w:t xml:space="preserve">לשקול את מחיקת הבקשה תוך שמירת טענותיה בעניין הנזק והפיצוי המבוקש, זאת במסגרת תביעה בהליך נפרד בבית המשפט המוסמך. </w:t>
      </w:r>
      <w:r w:rsidR="004D4FB8">
        <w:rPr>
          <w:rFonts w:ascii="Arial" w:hAnsi="Arial" w:hint="cs"/>
          <w:noProof w:val="0"/>
          <w:rtl/>
        </w:rPr>
        <w:t>ביום 8.1.25 הודיעה המבקשת כי היא עומדת על בקשתה, כי ייפסקו לזכותה הוצאות בשל הנזקים שנגרמו לה כתוצאה מההליך לפי סעיף 194 לפקודה. במס</w:t>
      </w:r>
      <w:r w:rsidR="00FA28D9">
        <w:rPr>
          <w:rFonts w:ascii="Arial" w:hAnsi="Arial" w:hint="cs"/>
          <w:noProof w:val="0"/>
          <w:rtl/>
        </w:rPr>
        <w:t xml:space="preserve">גרת הודעת המבקשת </w:t>
      </w:r>
      <w:r w:rsidR="00FA28D9">
        <w:rPr>
          <w:rFonts w:ascii="Arial" w:hAnsi="Arial" w:hint="cs"/>
          <w:noProof w:val="0"/>
          <w:rtl/>
        </w:rPr>
        <w:lastRenderedPageBreak/>
        <w:t>נכתב, כי המבקש</w:t>
      </w:r>
      <w:r w:rsidR="004D4FB8">
        <w:rPr>
          <w:rFonts w:ascii="Arial" w:hAnsi="Arial" w:hint="cs"/>
          <w:noProof w:val="0"/>
          <w:rtl/>
        </w:rPr>
        <w:t xml:space="preserve">ת אינה עומדת על פסיקת ההוצאות שפורטו בסעיף 31 לבקשה (תשלומי שכר טרחה לעורכי דין ולרואה חשבון), אלא דורשת לקבל פיצוי ראוי בגין הנזקים שפורטו בסעיף 33 לבקשה (נזק בפן התזרימי ונזק לשמה הטוב מול לקוחותיה ומול נותני האשראי). </w:t>
      </w:r>
    </w:p>
    <w:p w:rsidR="004D4FB8" w:rsidRDefault="004D4FB8" w:rsidP="00CC15F9">
      <w:pPr>
        <w:spacing w:line="360" w:lineRule="auto"/>
        <w:ind w:left="720" w:hanging="720"/>
        <w:jc w:val="both"/>
        <w:rPr>
          <w:rFonts w:ascii="Arial" w:hAnsi="Arial"/>
          <w:noProof w:val="0"/>
          <w:rtl/>
        </w:rPr>
      </w:pPr>
    </w:p>
    <w:p w:rsidR="00CC15F9" w:rsidRPr="00E933F4" w:rsidRDefault="00CC15F9" w:rsidP="00FA28D9">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sidR="004D4FB8">
        <w:rPr>
          <w:rFonts w:ascii="Arial" w:hAnsi="Arial" w:hint="cs"/>
          <w:noProof w:val="0"/>
          <w:rtl/>
        </w:rPr>
        <w:t xml:space="preserve">כהערת פתיחה, אציין כי הבקשה שהוגשה ביום 29.10.24 הוכתרה בכותרת </w:t>
      </w:r>
      <w:r w:rsidR="00FA28D9">
        <w:rPr>
          <w:rFonts w:ascii="Arial" w:hAnsi="Arial" w:hint="cs"/>
          <w:noProof w:val="0"/>
          <w:rtl/>
        </w:rPr>
        <w:t>כ-</w:t>
      </w:r>
      <w:r w:rsidR="004D4FB8">
        <w:rPr>
          <w:rFonts w:ascii="Arial" w:hAnsi="Arial" w:hint="cs"/>
          <w:noProof w:val="0"/>
          <w:rtl/>
        </w:rPr>
        <w:t>"בקשה לפסיקת הוצאות בהליך לפי סעיף 194 לפקודה". בגוף הבקשה, פורטו ההוצאות החלקיות שנגרמו</w:t>
      </w:r>
      <w:r w:rsidR="00FA28D9">
        <w:rPr>
          <w:rFonts w:ascii="Arial" w:hAnsi="Arial" w:hint="cs"/>
          <w:noProof w:val="0"/>
          <w:rtl/>
        </w:rPr>
        <w:t xml:space="preserve"> למבקשת</w:t>
      </w:r>
      <w:r w:rsidR="004D4FB8">
        <w:rPr>
          <w:rFonts w:ascii="Arial" w:hAnsi="Arial" w:hint="cs"/>
          <w:noProof w:val="0"/>
          <w:rtl/>
        </w:rPr>
        <w:t xml:space="preserve">, דהיינו, שכר טרחה למשרד עורך דין ירון-אלדר, פלר, שוורץ ושות'; שכר טרחה לעורך דין חיים גבאי ושות'; שכר טרחה לעורך דין </w:t>
      </w:r>
      <w:r w:rsidR="00F44F83">
        <w:rPr>
          <w:rFonts w:ascii="Arial" w:hAnsi="Arial" w:hint="cs"/>
          <w:noProof w:val="0"/>
          <w:rtl/>
        </w:rPr>
        <w:t>עוזי</w:t>
      </w:r>
      <w:r w:rsidR="004D4FB8">
        <w:rPr>
          <w:rFonts w:ascii="Arial" w:hAnsi="Arial" w:hint="cs"/>
          <w:noProof w:val="0"/>
          <w:rtl/>
        </w:rPr>
        <w:t xml:space="preserve"> שוחט; שכר טרחה לרואה חשבון סימנובסקי ז"ל והוצאות "שונות", בסך כולל של 342,600 ₪. כתוצאה מטרמינולוגיה זו </w:t>
      </w:r>
      <w:r w:rsidR="00FA28D9">
        <w:rPr>
          <w:rFonts w:ascii="Arial" w:hAnsi="Arial" w:hint="cs"/>
          <w:noProof w:val="0"/>
          <w:rtl/>
        </w:rPr>
        <w:t>("פסיקת</w:t>
      </w:r>
      <w:r w:rsidR="00234C38">
        <w:rPr>
          <w:rFonts w:ascii="Arial" w:hAnsi="Arial" w:hint="cs"/>
          <w:noProof w:val="0"/>
          <w:rtl/>
        </w:rPr>
        <w:t xml:space="preserve"> הוצאות") טען המשיב בתגובתו, כי אין מקום לחייב בהוצאות בהליך ביניים בעקבות פסק הדין, וכי לא ניתן לדרוש היום הוצאות משפט בגין </w:t>
      </w:r>
      <w:r w:rsidR="00FA28D9">
        <w:rPr>
          <w:rFonts w:ascii="Arial" w:hAnsi="Arial" w:hint="cs"/>
          <w:noProof w:val="0"/>
          <w:rtl/>
        </w:rPr>
        <w:t>ה</w:t>
      </w:r>
      <w:r w:rsidR="00234C38">
        <w:rPr>
          <w:rFonts w:ascii="Arial" w:hAnsi="Arial" w:hint="cs"/>
          <w:noProof w:val="0"/>
          <w:rtl/>
        </w:rPr>
        <w:t xml:space="preserve">הליך של הטלת עיקולים, תוך הפניה לתקנה 53 לתקנות סדר הדין האזרחי, </w:t>
      </w:r>
      <w:r w:rsidR="00E933F4">
        <w:rPr>
          <w:rFonts w:ascii="Arial" w:hAnsi="Arial" w:hint="cs"/>
          <w:noProof w:val="0"/>
          <w:rtl/>
        </w:rPr>
        <w:t xml:space="preserve">התשע"ט-2018 (להלן: </w:t>
      </w:r>
      <w:r w:rsidR="00E933F4">
        <w:rPr>
          <w:rFonts w:ascii="Arial" w:hAnsi="Arial" w:hint="cs"/>
          <w:b/>
          <w:bCs/>
          <w:noProof w:val="0"/>
          <w:rtl/>
        </w:rPr>
        <w:t>"תקנות סדר הדין"</w:t>
      </w:r>
      <w:r w:rsidR="00E933F4">
        <w:rPr>
          <w:rFonts w:ascii="Arial" w:hAnsi="Arial" w:hint="cs"/>
          <w:noProof w:val="0"/>
          <w:rtl/>
        </w:rPr>
        <w:t>)</w:t>
      </w:r>
      <w:r w:rsidR="00FA28D9">
        <w:rPr>
          <w:rFonts w:ascii="Arial" w:hAnsi="Arial" w:hint="cs"/>
          <w:noProof w:val="0"/>
          <w:rtl/>
        </w:rPr>
        <w:t>,</w:t>
      </w:r>
      <w:r w:rsidR="00E933F4">
        <w:rPr>
          <w:rFonts w:ascii="Arial" w:hAnsi="Arial" w:hint="cs"/>
          <w:noProof w:val="0"/>
          <w:rtl/>
        </w:rPr>
        <w:t xml:space="preserve"> המתייחסת לפסיקת הוצאות בתום דיון בכל בקשה. בהודעה מיום 8.1.25 חזרה בה המבקשת מהבקשה לפסיקת ההוצאות שפורטו לעיל </w:t>
      </w:r>
      <w:r w:rsidR="00FA28D9">
        <w:rPr>
          <w:rFonts w:ascii="Arial" w:hAnsi="Arial" w:hint="cs"/>
          <w:noProof w:val="0"/>
          <w:rtl/>
        </w:rPr>
        <w:t>ו</w:t>
      </w:r>
      <w:r w:rsidR="00E933F4">
        <w:rPr>
          <w:rFonts w:ascii="Arial" w:hAnsi="Arial" w:hint="cs"/>
          <w:noProof w:val="0"/>
          <w:rtl/>
        </w:rPr>
        <w:t xml:space="preserve">דרשה לקבל פיצוי בגין הנזקים שפורטו בבקשה (סעיף 33 לבקשה). </w:t>
      </w:r>
      <w:r w:rsidR="00FA28D9">
        <w:rPr>
          <w:rFonts w:ascii="Arial" w:hAnsi="Arial" w:hint="cs"/>
          <w:noProof w:val="0"/>
          <w:rtl/>
        </w:rPr>
        <w:t>קיים קושי בהודעת המבקשת, הואיל ו</w:t>
      </w:r>
      <w:r w:rsidR="00E933F4">
        <w:rPr>
          <w:rFonts w:ascii="Arial" w:hAnsi="Arial" w:hint="cs"/>
          <w:noProof w:val="0"/>
          <w:rtl/>
        </w:rPr>
        <w:t xml:space="preserve">מדובר בסוג של "שינוי חזית" לאחר </w:t>
      </w:r>
      <w:r w:rsidR="00367E2B">
        <w:rPr>
          <w:rFonts w:ascii="Arial" w:hAnsi="Arial" w:hint="cs"/>
          <w:noProof w:val="0"/>
          <w:rtl/>
        </w:rPr>
        <w:t xml:space="preserve">שהסתיים </w:t>
      </w:r>
      <w:r w:rsidR="00E933F4">
        <w:rPr>
          <w:rFonts w:ascii="Arial" w:hAnsi="Arial" w:hint="cs"/>
          <w:noProof w:val="0"/>
          <w:rtl/>
        </w:rPr>
        <w:t xml:space="preserve">הדיון בבקשה. מעבר לכך, ביחס לאותם נזקים נטענים, לא הובאה כמות מינימלית של ראיות להוכחת גובה הנזק. לבקשה אף לא צורף תצהיר לתמיכה בטענות </w:t>
      </w:r>
      <w:r w:rsidR="00367E2B">
        <w:rPr>
          <w:rFonts w:ascii="Arial" w:hAnsi="Arial" w:hint="cs"/>
          <w:noProof w:val="0"/>
          <w:rtl/>
        </w:rPr>
        <w:t>בדבר הנזקים שצוינו</w:t>
      </w:r>
      <w:r w:rsidR="00E933F4">
        <w:rPr>
          <w:rFonts w:ascii="Arial" w:hAnsi="Arial" w:hint="cs"/>
          <w:noProof w:val="0"/>
          <w:rtl/>
        </w:rPr>
        <w:t xml:space="preserve"> בבקשה. מעבר לקשיים האמורים, מצאתי שיש קושי של ממש בפן המשפטי העומד בבסיס הבקשה, כפי שיפורט להלן. </w:t>
      </w:r>
    </w:p>
    <w:p w:rsidR="00CC15F9" w:rsidRDefault="00CC15F9" w:rsidP="00CC15F9">
      <w:pPr>
        <w:spacing w:line="360" w:lineRule="auto"/>
        <w:ind w:left="720" w:hanging="720"/>
        <w:jc w:val="both"/>
        <w:rPr>
          <w:rFonts w:ascii="Arial" w:hAnsi="Arial"/>
          <w:noProof w:val="0"/>
          <w:rtl/>
        </w:rPr>
      </w:pPr>
    </w:p>
    <w:p w:rsidR="00CC15F9" w:rsidRDefault="00CC15F9" w:rsidP="00CC15F9">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 xml:space="preserve">העיקולים שהוטלו בהליך זה התבססו על הוראות סעיף 194 לפקודה. על פי סעיף זה, ככל שיש לפקיד השומה סיבה לחשוש כי המס על הכנסה פלונית לא יגבה, רשאי הוא לדרוש מהנישום מתן ערובה לתשלום המס וככל שהנישום לא נתן את הערובה הנ"ל, רשאי בית המשפט לתת צו, על פי בקשת פקיד השומה, על עיקול רכושו. </w:t>
      </w:r>
    </w:p>
    <w:p w:rsidR="00953738" w:rsidRDefault="00953738" w:rsidP="00CC15F9">
      <w:pPr>
        <w:spacing w:line="360" w:lineRule="auto"/>
        <w:ind w:left="720" w:hanging="720"/>
        <w:jc w:val="both"/>
        <w:rPr>
          <w:rFonts w:ascii="Arial" w:hAnsi="Arial"/>
          <w:noProof w:val="0"/>
          <w:rtl/>
        </w:rPr>
      </w:pPr>
    </w:p>
    <w:p w:rsidR="00953738" w:rsidRDefault="00953738" w:rsidP="00234A2F">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סעיף 194 לפקודה אינו כולל הוראות בעניין מתן התחייבות עצמית או ערובה מצד פקיד השומה</w:t>
      </w:r>
      <w:r w:rsidR="00884E93">
        <w:rPr>
          <w:rFonts w:ascii="Arial" w:hAnsi="Arial" w:hint="cs"/>
          <w:noProof w:val="0"/>
          <w:rtl/>
        </w:rPr>
        <w:t>,</w:t>
      </w:r>
      <w:r>
        <w:rPr>
          <w:rFonts w:ascii="Arial" w:hAnsi="Arial" w:hint="cs"/>
          <w:noProof w:val="0"/>
          <w:rtl/>
        </w:rPr>
        <w:t xml:space="preserve"> שבהם מותנה הסעד הזמני</w:t>
      </w:r>
      <w:r w:rsidR="00884E93">
        <w:rPr>
          <w:rFonts w:ascii="Arial" w:hAnsi="Arial" w:hint="cs"/>
          <w:noProof w:val="0"/>
          <w:rtl/>
        </w:rPr>
        <w:t xml:space="preserve"> (עיקול או צו עיכוב יציאה מן הארץ)</w:t>
      </w:r>
      <w:r>
        <w:rPr>
          <w:rFonts w:ascii="Arial" w:hAnsi="Arial" w:hint="cs"/>
          <w:noProof w:val="0"/>
          <w:rtl/>
        </w:rPr>
        <w:t xml:space="preserve">. </w:t>
      </w:r>
    </w:p>
    <w:p w:rsidR="00953738" w:rsidRDefault="00953738" w:rsidP="00953738">
      <w:pPr>
        <w:spacing w:line="360" w:lineRule="auto"/>
        <w:ind w:left="720" w:hanging="720"/>
        <w:jc w:val="both"/>
        <w:rPr>
          <w:rFonts w:ascii="Arial" w:hAnsi="Arial"/>
          <w:noProof w:val="0"/>
          <w:rtl/>
        </w:rPr>
      </w:pPr>
    </w:p>
    <w:p w:rsidR="00953738" w:rsidRDefault="00953738" w:rsidP="00E933F4">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בתקנות סדר הדין נקבע כי סעד זמני יותנה בהתחייבות עצמית של המבקש לפיצוי של מי שאליו מופנה הצו הזמני, בשל כל נזק שיגרם עקב מתן הסעד הזמני, אם פקע הסעד הזמני, או צומצם היקפו (</w:t>
      </w:r>
      <w:r w:rsidR="00884E93">
        <w:rPr>
          <w:rFonts w:ascii="Arial" w:hAnsi="Arial" w:hint="cs"/>
          <w:noProof w:val="0"/>
          <w:rtl/>
        </w:rPr>
        <w:t xml:space="preserve">ראו </w:t>
      </w:r>
      <w:r w:rsidR="00884E93">
        <w:rPr>
          <w:rFonts w:ascii="Arial" w:hAnsi="Arial"/>
          <w:noProof w:val="0"/>
          <w:rtl/>
        </w:rPr>
        <w:t>–</w:t>
      </w:r>
      <w:r w:rsidR="00884E93">
        <w:rPr>
          <w:rFonts w:ascii="Arial" w:hAnsi="Arial" w:hint="cs"/>
          <w:noProof w:val="0"/>
          <w:rtl/>
        </w:rPr>
        <w:t xml:space="preserve"> </w:t>
      </w:r>
      <w:r>
        <w:rPr>
          <w:rFonts w:ascii="Arial" w:hAnsi="Arial" w:hint="cs"/>
          <w:noProof w:val="0"/>
          <w:rtl/>
        </w:rPr>
        <w:t>טופס 7, הנזכר בתקנה 96(ב)). כמו כן נקבע בתקנה 96(ג) כי המבקש יפקיד ערובה מספקת לשם פיצוי בשל כל נזק שיגרם כתוצאה ממתן הצו הזמני</w:t>
      </w:r>
      <w:r w:rsidR="007C1072">
        <w:rPr>
          <w:rFonts w:ascii="Arial" w:hAnsi="Arial" w:hint="cs"/>
          <w:noProof w:val="0"/>
          <w:rtl/>
        </w:rPr>
        <w:t>, אם יפקע הצו או יצומצם היקפו. יחד עם זאת, בית המשפט רשאי, מטעמים מיוחדים, לפ</w:t>
      </w:r>
      <w:r w:rsidR="00A77BE0">
        <w:rPr>
          <w:rFonts w:ascii="Arial" w:hAnsi="Arial" w:hint="cs"/>
          <w:noProof w:val="0"/>
          <w:rtl/>
        </w:rPr>
        <w:t>ט</w:t>
      </w:r>
      <w:r w:rsidR="007C1072">
        <w:rPr>
          <w:rFonts w:ascii="Arial" w:hAnsi="Arial" w:hint="cs"/>
          <w:noProof w:val="0"/>
          <w:rtl/>
        </w:rPr>
        <w:t>ור את המבקש מהפקדת ערובה. אחד המקרים שבהם המבקש פ</w:t>
      </w:r>
      <w:r w:rsidR="00A77BE0">
        <w:rPr>
          <w:rFonts w:ascii="Arial" w:hAnsi="Arial" w:hint="cs"/>
          <w:noProof w:val="0"/>
          <w:rtl/>
        </w:rPr>
        <w:t>ט</w:t>
      </w:r>
      <w:r w:rsidR="007C1072">
        <w:rPr>
          <w:rFonts w:ascii="Arial" w:hAnsi="Arial" w:hint="cs"/>
          <w:noProof w:val="0"/>
          <w:rtl/>
        </w:rPr>
        <w:t xml:space="preserve">ור מהפקדת ערובה, הוא כאשר מדובר במבקש בעל איתנות פיננסית, כמו בנקים, חברות ביטוח והמדינה. </w:t>
      </w:r>
    </w:p>
    <w:p w:rsidR="007C1072" w:rsidRDefault="007C1072" w:rsidP="007C1072">
      <w:pPr>
        <w:spacing w:line="360" w:lineRule="auto"/>
        <w:ind w:left="720" w:hanging="720"/>
        <w:jc w:val="both"/>
        <w:rPr>
          <w:rFonts w:ascii="Arial" w:hAnsi="Arial"/>
          <w:noProof w:val="0"/>
          <w:rtl/>
        </w:rPr>
      </w:pPr>
    </w:p>
    <w:p w:rsidR="007C1072" w:rsidRDefault="007C1072" w:rsidP="00087223">
      <w:pPr>
        <w:spacing w:line="360" w:lineRule="auto"/>
        <w:ind w:left="720" w:hanging="720"/>
        <w:jc w:val="both"/>
        <w:rPr>
          <w:rFonts w:ascii="Arial" w:hAnsi="Arial"/>
          <w:noProof w:val="0"/>
          <w:rtl/>
        </w:rPr>
      </w:pPr>
      <w:r>
        <w:rPr>
          <w:rFonts w:ascii="Arial" w:hAnsi="Arial" w:hint="cs"/>
          <w:noProof w:val="0"/>
          <w:rtl/>
        </w:rPr>
        <w:t>11.</w:t>
      </w:r>
      <w:r>
        <w:rPr>
          <w:rFonts w:ascii="Arial" w:hAnsi="Arial"/>
          <w:noProof w:val="0"/>
          <w:rtl/>
        </w:rPr>
        <w:tab/>
      </w:r>
      <w:r>
        <w:rPr>
          <w:rFonts w:ascii="Arial" w:hAnsi="Arial" w:hint="cs"/>
          <w:noProof w:val="0"/>
          <w:rtl/>
        </w:rPr>
        <w:t xml:space="preserve">בתקנות בית המשפט (ערעורים בענייני מס הכנסה) (תיקון), התשפ"א </w:t>
      </w:r>
      <w:r>
        <w:rPr>
          <w:rFonts w:ascii="Arial" w:hAnsi="Arial"/>
          <w:noProof w:val="0"/>
          <w:rtl/>
        </w:rPr>
        <w:t>–</w:t>
      </w:r>
      <w:r>
        <w:rPr>
          <w:rFonts w:ascii="Arial" w:hAnsi="Arial" w:hint="cs"/>
          <w:noProof w:val="0"/>
          <w:rtl/>
        </w:rPr>
        <w:t xml:space="preserve"> 2021 (להלן: "</w:t>
      </w:r>
      <w:r w:rsidRPr="007C1072">
        <w:rPr>
          <w:rFonts w:ascii="Arial" w:hAnsi="Arial" w:hint="cs"/>
          <w:b/>
          <w:bCs/>
          <w:noProof w:val="0"/>
          <w:rtl/>
        </w:rPr>
        <w:t>תקנות מס הכנסה</w:t>
      </w:r>
      <w:r>
        <w:rPr>
          <w:rFonts w:ascii="Arial" w:hAnsi="Arial" w:hint="cs"/>
          <w:noProof w:val="0"/>
          <w:rtl/>
        </w:rPr>
        <w:t xml:space="preserve">") נקבע כי תקנות סדר הדין יחולו בערעורי מס הכנסה למעט תקנות שהוחרגו, לרבות התקנות העוסקות בסעדים זמניים </w:t>
      </w:r>
      <w:r w:rsidR="00087223">
        <w:rPr>
          <w:rFonts w:ascii="Arial" w:hAnsi="Arial" w:hint="cs"/>
          <w:noProof w:val="0"/>
          <w:rtl/>
        </w:rPr>
        <w:t>(</w:t>
      </w:r>
      <w:r w:rsidR="00580623">
        <w:rPr>
          <w:rFonts w:ascii="Arial" w:hAnsi="Arial" w:hint="cs"/>
          <w:noProof w:val="0"/>
          <w:rtl/>
        </w:rPr>
        <w:t xml:space="preserve">תקנות </w:t>
      </w:r>
      <w:r>
        <w:rPr>
          <w:rFonts w:ascii="Arial" w:hAnsi="Arial" w:hint="cs"/>
          <w:noProof w:val="0"/>
          <w:rtl/>
        </w:rPr>
        <w:t xml:space="preserve">94-128). </w:t>
      </w:r>
    </w:p>
    <w:p w:rsidR="007C1072" w:rsidRDefault="007C1072" w:rsidP="007C1072">
      <w:pPr>
        <w:spacing w:line="360" w:lineRule="auto"/>
        <w:ind w:left="720" w:hanging="720"/>
        <w:jc w:val="both"/>
        <w:rPr>
          <w:rFonts w:ascii="Arial" w:hAnsi="Arial"/>
          <w:noProof w:val="0"/>
          <w:rtl/>
        </w:rPr>
      </w:pPr>
    </w:p>
    <w:p w:rsidR="007C1072" w:rsidRDefault="007C1072" w:rsidP="00580623">
      <w:pPr>
        <w:spacing w:line="360" w:lineRule="auto"/>
        <w:ind w:left="720" w:hanging="720"/>
        <w:jc w:val="both"/>
        <w:rPr>
          <w:rFonts w:ascii="Arial" w:hAnsi="Arial"/>
          <w:noProof w:val="0"/>
          <w:rtl/>
        </w:rPr>
      </w:pPr>
      <w:r>
        <w:rPr>
          <w:rFonts w:ascii="Arial" w:hAnsi="Arial" w:hint="cs"/>
          <w:noProof w:val="0"/>
          <w:rtl/>
        </w:rPr>
        <w:t>12.</w:t>
      </w:r>
      <w:r>
        <w:rPr>
          <w:rFonts w:ascii="Arial" w:hAnsi="Arial"/>
          <w:noProof w:val="0"/>
          <w:rtl/>
        </w:rPr>
        <w:tab/>
      </w:r>
      <w:r>
        <w:rPr>
          <w:rFonts w:ascii="Arial" w:hAnsi="Arial" w:hint="cs"/>
          <w:noProof w:val="0"/>
          <w:rtl/>
        </w:rPr>
        <w:t>משום כך, כאשר הוגשה בקשת המשיב להטלת עיקולים, העיקולים שהוטלו לא הותנו במתן התחייבות עצמית או בהפקדת ערובה</w:t>
      </w:r>
      <w:r w:rsidR="00580623">
        <w:rPr>
          <w:rFonts w:ascii="Arial" w:hAnsi="Arial" w:hint="cs"/>
          <w:noProof w:val="0"/>
          <w:rtl/>
        </w:rPr>
        <w:t>,</w:t>
      </w:r>
      <w:r>
        <w:rPr>
          <w:rFonts w:ascii="Arial" w:hAnsi="Arial" w:hint="cs"/>
          <w:noProof w:val="0"/>
          <w:rtl/>
        </w:rPr>
        <w:t xml:space="preserve"> כתנאי למתן </w:t>
      </w:r>
      <w:r w:rsidR="00580623">
        <w:rPr>
          <w:rFonts w:ascii="Arial" w:hAnsi="Arial" w:hint="cs"/>
          <w:noProof w:val="0"/>
          <w:rtl/>
        </w:rPr>
        <w:t>צווי העיקול</w:t>
      </w:r>
      <w:r>
        <w:rPr>
          <w:rFonts w:ascii="Arial" w:hAnsi="Arial" w:hint="cs"/>
          <w:noProof w:val="0"/>
          <w:rtl/>
        </w:rPr>
        <w:t xml:space="preserve">. </w:t>
      </w:r>
    </w:p>
    <w:p w:rsidR="007C1072" w:rsidRDefault="007C1072" w:rsidP="007C1072">
      <w:pPr>
        <w:spacing w:line="360" w:lineRule="auto"/>
        <w:ind w:left="720" w:hanging="720"/>
        <w:jc w:val="both"/>
        <w:rPr>
          <w:rFonts w:ascii="Arial" w:hAnsi="Arial"/>
          <w:noProof w:val="0"/>
          <w:rtl/>
        </w:rPr>
      </w:pPr>
    </w:p>
    <w:p w:rsidR="007C1072" w:rsidRDefault="007C1072" w:rsidP="00286B09">
      <w:pPr>
        <w:spacing w:line="360" w:lineRule="auto"/>
        <w:ind w:left="720" w:hanging="720"/>
        <w:jc w:val="both"/>
        <w:rPr>
          <w:rFonts w:ascii="Arial" w:hAnsi="Arial"/>
          <w:noProof w:val="0"/>
          <w:rtl/>
        </w:rPr>
      </w:pPr>
      <w:r>
        <w:rPr>
          <w:rFonts w:ascii="Arial" w:hAnsi="Arial" w:hint="cs"/>
          <w:noProof w:val="0"/>
          <w:rtl/>
        </w:rPr>
        <w:lastRenderedPageBreak/>
        <w:t>13.</w:t>
      </w:r>
      <w:r>
        <w:rPr>
          <w:rFonts w:ascii="Arial" w:hAnsi="Arial"/>
          <w:noProof w:val="0"/>
          <w:rtl/>
        </w:rPr>
        <w:tab/>
      </w:r>
      <w:r w:rsidR="00286B09">
        <w:rPr>
          <w:rFonts w:ascii="Arial" w:hAnsi="Arial" w:hint="cs"/>
          <w:noProof w:val="0"/>
          <w:rtl/>
        </w:rPr>
        <w:t xml:space="preserve"> תקנה 101 לתקנות סדר הדין קובעת כי ערובה שהופקדה במסגרת בקשה לסעד זמני תוחזר למבקש הסעד בתוך 90 ימים ממועד פקיעת הסעד הזמני, אלא אם כן הוגשה לבית המשפט תביעה או בקשה לפיצויים בשל נזק שנגרם, עקב מתן הסעד הזמני. תקנה זו אינה רלוונטית במקרה שלפנינו, הן מכיוון שהמשיב לא הפקיד ערובה והן מכיוון שתקנה 101 הוחרגה במסגרת תקנות מס הכנסה. </w:t>
      </w:r>
    </w:p>
    <w:p w:rsidR="00286B09" w:rsidRDefault="00286B09" w:rsidP="00286B09">
      <w:pPr>
        <w:spacing w:line="360" w:lineRule="auto"/>
        <w:ind w:left="720" w:hanging="720"/>
        <w:jc w:val="both"/>
        <w:rPr>
          <w:rFonts w:ascii="Arial" w:hAnsi="Arial"/>
          <w:noProof w:val="0"/>
          <w:rtl/>
        </w:rPr>
      </w:pPr>
    </w:p>
    <w:p w:rsidR="00286B09" w:rsidRDefault="00286B09" w:rsidP="00495B34">
      <w:pPr>
        <w:spacing w:line="360" w:lineRule="auto"/>
        <w:ind w:left="720" w:hanging="720"/>
        <w:jc w:val="both"/>
        <w:rPr>
          <w:rFonts w:ascii="Arial" w:hAnsi="Arial"/>
          <w:noProof w:val="0"/>
          <w:rtl/>
        </w:rPr>
      </w:pPr>
      <w:r>
        <w:rPr>
          <w:rFonts w:ascii="Arial" w:hAnsi="Arial" w:hint="cs"/>
          <w:noProof w:val="0"/>
          <w:rtl/>
        </w:rPr>
        <w:t>14.</w:t>
      </w:r>
      <w:r>
        <w:rPr>
          <w:rFonts w:ascii="Arial" w:hAnsi="Arial"/>
          <w:noProof w:val="0"/>
          <w:rtl/>
        </w:rPr>
        <w:tab/>
      </w:r>
      <w:r>
        <w:rPr>
          <w:rFonts w:ascii="Arial" w:hAnsi="Arial" w:hint="cs"/>
          <w:noProof w:val="0"/>
          <w:rtl/>
        </w:rPr>
        <w:t xml:space="preserve">המבקשת הייתה ערה להחרגת תקנה 101 כאמור, אולם הגישה את הבקשה במסגרת 90 הימים הקבועים באותה תקנה. לטענת המבקשת, אומנם המשיב אינו מחויב בהפקדת ערובה, אולם תקנה 96 לתקנות סדר הדין קובעת כי מבקש הסעד הזמני יפצה על נזק שנגרם כתוצאה ממתן הסעד הזמני. המבקשת הפנתה לפסיקת בתי המשפט המחוזיים על פיה פקודת מס </w:t>
      </w:r>
      <w:r w:rsidR="00495B34">
        <w:rPr>
          <w:rFonts w:ascii="Arial" w:hAnsi="Arial" w:hint="cs"/>
          <w:noProof w:val="0"/>
          <w:rtl/>
        </w:rPr>
        <w:t>הכנסה קבעה פרוצדורה מקבילה למתן סעדים זמניים בהליכים אזרחיים</w:t>
      </w:r>
      <w:r w:rsidR="00580623">
        <w:rPr>
          <w:rFonts w:ascii="Arial" w:hAnsi="Arial" w:hint="cs"/>
          <w:noProof w:val="0"/>
          <w:rtl/>
        </w:rPr>
        <w:t>,</w:t>
      </w:r>
      <w:r w:rsidR="00495B34">
        <w:rPr>
          <w:rFonts w:ascii="Arial" w:hAnsi="Arial" w:hint="cs"/>
          <w:noProof w:val="0"/>
          <w:rtl/>
        </w:rPr>
        <w:t xml:space="preserve"> בדרך הקבועה בסעיף 194 לפקודה וכן נקבע כי העיקול מכוח סעיף 194 לפקודה הוא צו זמני שיש ליישם לגביו, בשינויים הנובעים מן העניין, מבחנים זהים למבחנים הנהוגים בעיקולים זמניים בהליכים אזרחיים. </w:t>
      </w:r>
    </w:p>
    <w:p w:rsidR="00495B34" w:rsidRDefault="00495B34" w:rsidP="00495B34">
      <w:pPr>
        <w:spacing w:line="360" w:lineRule="auto"/>
        <w:ind w:left="720" w:hanging="720"/>
        <w:jc w:val="both"/>
        <w:rPr>
          <w:rFonts w:ascii="Arial" w:hAnsi="Arial"/>
          <w:noProof w:val="0"/>
          <w:rtl/>
        </w:rPr>
      </w:pPr>
    </w:p>
    <w:p w:rsidR="00495B34" w:rsidRDefault="00495B34" w:rsidP="00E933F4">
      <w:pPr>
        <w:spacing w:line="360" w:lineRule="auto"/>
        <w:ind w:left="720" w:hanging="720"/>
        <w:jc w:val="both"/>
        <w:rPr>
          <w:rFonts w:ascii="Arial" w:hAnsi="Arial"/>
          <w:noProof w:val="0"/>
          <w:rtl/>
        </w:rPr>
      </w:pPr>
      <w:r>
        <w:rPr>
          <w:rFonts w:ascii="Arial" w:hAnsi="Arial" w:hint="cs"/>
          <w:noProof w:val="0"/>
          <w:rtl/>
        </w:rPr>
        <w:t>15.</w:t>
      </w:r>
      <w:r>
        <w:rPr>
          <w:rFonts w:ascii="Arial" w:hAnsi="Arial"/>
          <w:noProof w:val="0"/>
          <w:rtl/>
        </w:rPr>
        <w:tab/>
      </w:r>
      <w:r w:rsidR="00E933F4">
        <w:rPr>
          <w:rFonts w:ascii="Arial" w:hAnsi="Arial" w:hint="cs"/>
          <w:noProof w:val="0"/>
          <w:rtl/>
        </w:rPr>
        <w:t>לדידי,</w:t>
      </w:r>
      <w:r>
        <w:rPr>
          <w:rFonts w:ascii="Arial" w:hAnsi="Arial" w:hint="cs"/>
          <w:noProof w:val="0"/>
          <w:rtl/>
        </w:rPr>
        <w:t xml:space="preserve"> יש לעמוד על המשמעות של אי מתן התחייבות מטעם רשות המיסים (פקיד השומה) במסגרת הבקשה להטלת עיקולים על פי סעיף 194 לפקודה. על פי ההלכה הפסוקה, החיוב לשפות את הנתבע על הנזקים שנגרמו כתוצאה מהסעד הזמני, מבוסס על ההתחייבות של התובע, אשר ביקש את הסעד הזמני (ע"א 732/80 </w:t>
      </w:r>
      <w:r>
        <w:rPr>
          <w:rFonts w:ascii="Arial" w:hAnsi="Arial" w:hint="cs"/>
          <w:b/>
          <w:bCs/>
          <w:noProof w:val="0"/>
          <w:rtl/>
        </w:rPr>
        <w:t xml:space="preserve">ארנס נ' בית אל </w:t>
      </w:r>
      <w:r>
        <w:rPr>
          <w:rFonts w:ascii="Arial" w:hAnsi="Arial"/>
          <w:b/>
          <w:bCs/>
          <w:noProof w:val="0"/>
          <w:rtl/>
        </w:rPr>
        <w:t>–</w:t>
      </w:r>
      <w:r>
        <w:rPr>
          <w:rFonts w:ascii="Arial" w:hAnsi="Arial" w:hint="cs"/>
          <w:b/>
          <w:bCs/>
          <w:noProof w:val="0"/>
          <w:rtl/>
        </w:rPr>
        <w:t xml:space="preserve"> זכרון יעקב</w:t>
      </w:r>
      <w:r>
        <w:rPr>
          <w:rFonts w:ascii="Arial" w:hAnsi="Arial" w:hint="cs"/>
          <w:noProof w:val="0"/>
          <w:rtl/>
        </w:rPr>
        <w:t>, פ"ד ל"ח (2) 650</w:t>
      </w:r>
      <w:r w:rsidR="00FB07C4">
        <w:rPr>
          <w:rFonts w:ascii="Arial" w:hAnsi="Arial" w:hint="cs"/>
          <w:noProof w:val="0"/>
          <w:rtl/>
        </w:rPr>
        <w:t xml:space="preserve">, </w:t>
      </w:r>
      <w:r>
        <w:rPr>
          <w:rFonts w:ascii="Arial" w:hAnsi="Arial" w:hint="cs"/>
          <w:noProof w:val="0"/>
          <w:rtl/>
        </w:rPr>
        <w:t>662</w:t>
      </w:r>
      <w:r w:rsidR="00580623">
        <w:rPr>
          <w:rFonts w:ascii="Arial" w:hAnsi="Arial" w:hint="cs"/>
          <w:noProof w:val="0"/>
          <w:rtl/>
        </w:rPr>
        <w:t xml:space="preserve"> (להלן: "</w:t>
      </w:r>
      <w:r w:rsidR="00580623" w:rsidRPr="00580623">
        <w:rPr>
          <w:rFonts w:ascii="Arial" w:hAnsi="Arial" w:hint="cs"/>
          <w:b/>
          <w:bCs/>
          <w:noProof w:val="0"/>
          <w:rtl/>
        </w:rPr>
        <w:t>עניין ארנס</w:t>
      </w:r>
      <w:r w:rsidR="00580623">
        <w:rPr>
          <w:rFonts w:ascii="Arial" w:hAnsi="Arial" w:hint="cs"/>
          <w:noProof w:val="0"/>
          <w:rtl/>
        </w:rPr>
        <w:t>")</w:t>
      </w:r>
      <w:r>
        <w:rPr>
          <w:rFonts w:ascii="Arial" w:hAnsi="Arial" w:hint="cs"/>
          <w:noProof w:val="0"/>
          <w:rtl/>
        </w:rPr>
        <w:t xml:space="preserve">: </w:t>
      </w:r>
    </w:p>
    <w:p w:rsidR="00234A2F" w:rsidRDefault="00234A2F" w:rsidP="00FB07C4">
      <w:pPr>
        <w:spacing w:line="360" w:lineRule="auto"/>
        <w:ind w:left="720" w:hanging="720"/>
        <w:jc w:val="both"/>
        <w:rPr>
          <w:rFonts w:ascii="Arial" w:hAnsi="Arial"/>
          <w:noProof w:val="0"/>
          <w:rtl/>
        </w:rPr>
      </w:pPr>
    </w:p>
    <w:p w:rsidR="00495B34" w:rsidRDefault="00495B34" w:rsidP="00FB07C4">
      <w:pPr>
        <w:spacing w:line="360" w:lineRule="auto"/>
        <w:ind w:left="1440"/>
        <w:jc w:val="both"/>
        <w:rPr>
          <w:rFonts w:ascii="Arial" w:hAnsi="Arial"/>
          <w:b/>
          <w:bCs/>
          <w:noProof w:val="0"/>
          <w:rtl/>
        </w:rPr>
      </w:pPr>
      <w:r w:rsidRPr="00FB07C4">
        <w:rPr>
          <w:rFonts w:ascii="Arial" w:hAnsi="Arial" w:hint="cs"/>
          <w:b/>
          <w:bCs/>
          <w:noProof w:val="0"/>
          <w:rtl/>
        </w:rPr>
        <w:t xml:space="preserve">"החיוב לשפות </w:t>
      </w:r>
      <w:r w:rsidR="00FB07C4" w:rsidRPr="00FB07C4">
        <w:rPr>
          <w:rFonts w:ascii="Arial" w:hAnsi="Arial" w:hint="cs"/>
          <w:b/>
          <w:bCs/>
          <w:noProof w:val="0"/>
          <w:rtl/>
        </w:rPr>
        <w:t xml:space="preserve">את הצד השני ולהביא ערבות להבטחת השיפוי אינם יוצרים, בכל מקרה, עילת תביעה בנזיקין או יחסים חוזיים בין הזכאי לשיפוי לבין החייב בו. החיוב קם בהתאם להחלטתו של בית המשפט, שניתנה מכוח סמכותו הטבועה להתנות את מתן צו </w:t>
      </w:r>
      <w:r w:rsidR="00FB07C4" w:rsidRPr="00FB07C4">
        <w:rPr>
          <w:rFonts w:ascii="Arial" w:hAnsi="Arial" w:hint="cs"/>
          <w:b/>
          <w:bCs/>
          <w:noProof w:val="0"/>
          <w:rtl/>
        </w:rPr>
        <w:lastRenderedPageBreak/>
        <w:t>המניעה או מתן צו אחר, בעריכתן ובהגשתן של התחייבות וערבות כדי ליצור, על יסוד סמכותו האמורה, בסיס משפטי להפעלתו של החיוב"</w:t>
      </w:r>
      <w:r w:rsidR="00FB07C4">
        <w:rPr>
          <w:rFonts w:ascii="Arial" w:hAnsi="Arial" w:hint="cs"/>
          <w:b/>
          <w:bCs/>
          <w:noProof w:val="0"/>
          <w:rtl/>
        </w:rPr>
        <w:t>.</w:t>
      </w:r>
    </w:p>
    <w:p w:rsidR="00FB07C4" w:rsidRDefault="00FB07C4" w:rsidP="00FB07C4">
      <w:pPr>
        <w:spacing w:line="360" w:lineRule="auto"/>
        <w:ind w:left="1440"/>
        <w:jc w:val="both"/>
        <w:rPr>
          <w:rFonts w:ascii="Arial" w:hAnsi="Arial"/>
          <w:b/>
          <w:bCs/>
          <w:noProof w:val="0"/>
          <w:rtl/>
        </w:rPr>
      </w:pPr>
    </w:p>
    <w:p w:rsidR="00FB07C4" w:rsidRDefault="00FB07C4" w:rsidP="00FB07C4">
      <w:pPr>
        <w:spacing w:line="360" w:lineRule="auto"/>
        <w:ind w:left="720"/>
        <w:jc w:val="both"/>
        <w:rPr>
          <w:rFonts w:ascii="Arial" w:hAnsi="Arial"/>
          <w:noProof w:val="0"/>
          <w:rtl/>
        </w:rPr>
      </w:pPr>
      <w:r w:rsidRPr="00FB07C4">
        <w:rPr>
          <w:rFonts w:ascii="Arial" w:hAnsi="Arial" w:hint="cs"/>
          <w:noProof w:val="0"/>
          <w:rtl/>
        </w:rPr>
        <w:t>אשר על כ</w:t>
      </w:r>
      <w:r>
        <w:rPr>
          <w:rFonts w:ascii="Arial" w:hAnsi="Arial" w:hint="cs"/>
          <w:noProof w:val="0"/>
          <w:rtl/>
        </w:rPr>
        <w:t xml:space="preserve">ן, בהעדר התחייבות של מבקש הצו, לפיה </w:t>
      </w:r>
      <w:r w:rsidR="00E933F4">
        <w:rPr>
          <w:rFonts w:ascii="Arial" w:hAnsi="Arial" w:hint="cs"/>
          <w:noProof w:val="0"/>
          <w:rtl/>
        </w:rPr>
        <w:t xml:space="preserve">הוא </w:t>
      </w:r>
      <w:r>
        <w:rPr>
          <w:rFonts w:ascii="Arial" w:hAnsi="Arial" w:hint="cs"/>
          <w:noProof w:val="0"/>
          <w:rtl/>
        </w:rPr>
        <w:t xml:space="preserve">יפצה את מי שניתן לגביו הצו </w:t>
      </w:r>
      <w:r w:rsidR="00087223">
        <w:rPr>
          <w:rFonts w:ascii="Arial" w:hAnsi="Arial" w:hint="cs"/>
          <w:noProof w:val="0"/>
          <w:rtl/>
        </w:rPr>
        <w:t>על כל נזק שיגרם לו עקב מתן הצו</w:t>
      </w:r>
      <w:r>
        <w:rPr>
          <w:rFonts w:ascii="Arial" w:hAnsi="Arial" w:hint="cs"/>
          <w:noProof w:val="0"/>
          <w:rtl/>
        </w:rPr>
        <w:t>, נשמט הבסיס המשפטי מהבקשה לפיצוי על הנזקים שגרם הסעד הזמני. משום כך, נקבע בעניין ארנס הנ"ל, כי תוקפו של צו זמני יפוג אם לא תופקד התחייבות של מבקש הצו לפצות את הנתבע על כל נזק כאמור (עמ' 662 בין ה</w:t>
      </w:r>
      <w:r w:rsidR="00D95135">
        <w:rPr>
          <w:rFonts w:ascii="Arial" w:hAnsi="Arial" w:hint="cs"/>
          <w:noProof w:val="0"/>
          <w:rtl/>
        </w:rPr>
        <w:t xml:space="preserve">אותיות ו-ז). </w:t>
      </w:r>
    </w:p>
    <w:p w:rsidR="00D95135" w:rsidRDefault="00D95135" w:rsidP="00D95135">
      <w:pPr>
        <w:spacing w:line="360" w:lineRule="auto"/>
        <w:jc w:val="both"/>
        <w:rPr>
          <w:rFonts w:ascii="Arial" w:hAnsi="Arial"/>
          <w:noProof w:val="0"/>
          <w:rtl/>
        </w:rPr>
      </w:pPr>
    </w:p>
    <w:p w:rsidR="00D95135" w:rsidRDefault="00D95135" w:rsidP="00234A2F">
      <w:pPr>
        <w:spacing w:line="360" w:lineRule="auto"/>
        <w:ind w:left="720" w:hanging="720"/>
        <w:jc w:val="both"/>
        <w:rPr>
          <w:rFonts w:ascii="Arial" w:hAnsi="Arial"/>
          <w:noProof w:val="0"/>
          <w:rtl/>
        </w:rPr>
      </w:pPr>
      <w:r>
        <w:rPr>
          <w:rFonts w:ascii="Arial" w:hAnsi="Arial" w:hint="cs"/>
          <w:noProof w:val="0"/>
          <w:rtl/>
        </w:rPr>
        <w:t>16.</w:t>
      </w:r>
      <w:r>
        <w:rPr>
          <w:rFonts w:ascii="Arial" w:hAnsi="Arial"/>
          <w:noProof w:val="0"/>
          <w:rtl/>
        </w:rPr>
        <w:tab/>
      </w:r>
      <w:r>
        <w:rPr>
          <w:rFonts w:ascii="Arial" w:hAnsi="Arial" w:hint="cs"/>
          <w:noProof w:val="0"/>
          <w:rtl/>
        </w:rPr>
        <w:t>הואיל וסעיף 194 לפקודה אינו כולל הוראות דומות לאלה המפורטות בתקנות סדר הדין (תקנות 94 עד 101) והואיל ותקנות מס הכנסה אינן כוללות הוראות בנושא זה, היה רצוי כי המחוקק או מחוקק המשנה יית</w:t>
      </w:r>
      <w:r w:rsidR="00196429">
        <w:rPr>
          <w:rFonts w:ascii="Arial" w:hAnsi="Arial" w:hint="cs"/>
          <w:noProof w:val="0"/>
          <w:rtl/>
        </w:rPr>
        <w:t>נו</w:t>
      </w:r>
      <w:r>
        <w:rPr>
          <w:rFonts w:ascii="Arial" w:hAnsi="Arial" w:hint="cs"/>
          <w:noProof w:val="0"/>
          <w:rtl/>
        </w:rPr>
        <w:t xml:space="preserve"> דעת</w:t>
      </w:r>
      <w:r w:rsidR="00196429">
        <w:rPr>
          <w:rFonts w:ascii="Arial" w:hAnsi="Arial" w:hint="cs"/>
          <w:noProof w:val="0"/>
          <w:rtl/>
        </w:rPr>
        <w:t>ם</w:t>
      </w:r>
      <w:r>
        <w:rPr>
          <w:rFonts w:ascii="Arial" w:hAnsi="Arial" w:hint="cs"/>
          <w:noProof w:val="0"/>
          <w:rtl/>
        </w:rPr>
        <w:t xml:space="preserve"> על סוגיה זו. עד שתתוקן החקיקה </w:t>
      </w:r>
      <w:r w:rsidR="00234A2F">
        <w:rPr>
          <w:rFonts w:ascii="Arial" w:hAnsi="Arial" w:hint="cs"/>
          <w:noProof w:val="0"/>
          <w:rtl/>
        </w:rPr>
        <w:t>(</w:t>
      </w:r>
      <w:r w:rsidR="00196429">
        <w:rPr>
          <w:rFonts w:ascii="Arial" w:hAnsi="Arial" w:hint="cs"/>
          <w:noProof w:val="0"/>
          <w:rtl/>
        </w:rPr>
        <w:t>ככל שתתוקן</w:t>
      </w:r>
      <w:r w:rsidR="00234A2F">
        <w:rPr>
          <w:rFonts w:ascii="Arial" w:hAnsi="Arial" w:hint="cs"/>
          <w:noProof w:val="0"/>
          <w:rtl/>
        </w:rPr>
        <w:t>),</w:t>
      </w:r>
      <w:r w:rsidR="00196429">
        <w:rPr>
          <w:rFonts w:ascii="Arial" w:hAnsi="Arial" w:hint="cs"/>
          <w:noProof w:val="0"/>
          <w:rtl/>
        </w:rPr>
        <w:t xml:space="preserve"> </w:t>
      </w:r>
      <w:r>
        <w:rPr>
          <w:rFonts w:ascii="Arial" w:hAnsi="Arial" w:hint="cs"/>
          <w:noProof w:val="0"/>
          <w:rtl/>
        </w:rPr>
        <w:t>רשאי בית המשפט הדן בבקשה לפי סעיף 194 לפקודה להתנות את מתן צו העיקול (או צו עיכוב היציאה מן הארץ) במתן התחייבות מטעם המשיב</w:t>
      </w:r>
      <w:r w:rsidR="00E933F4">
        <w:rPr>
          <w:rFonts w:ascii="Arial" w:hAnsi="Arial" w:hint="cs"/>
          <w:noProof w:val="0"/>
          <w:rtl/>
        </w:rPr>
        <w:t>,</w:t>
      </w:r>
      <w:r>
        <w:rPr>
          <w:rFonts w:ascii="Arial" w:hAnsi="Arial" w:hint="cs"/>
          <w:noProof w:val="0"/>
          <w:rtl/>
        </w:rPr>
        <w:t xml:space="preserve"> לשפות את מי שהצו מכוון כלפיו</w:t>
      </w:r>
      <w:r w:rsidR="00196429">
        <w:rPr>
          <w:rFonts w:ascii="Arial" w:hAnsi="Arial" w:hint="cs"/>
          <w:noProof w:val="0"/>
          <w:rtl/>
        </w:rPr>
        <w:t>,</w:t>
      </w:r>
      <w:r>
        <w:rPr>
          <w:rFonts w:ascii="Arial" w:hAnsi="Arial" w:hint="cs"/>
          <w:noProof w:val="0"/>
          <w:rtl/>
        </w:rPr>
        <w:t xml:space="preserve"> בגין הנזקים שיגרמו לו, במידה והצו יבוטל. על סמכותו של בית המשפט להתנות סעד זמני בתנאים </w:t>
      </w:r>
      <w:r w:rsidR="00C031C6">
        <w:rPr>
          <w:rFonts w:ascii="Arial" w:hAnsi="Arial" w:hint="cs"/>
          <w:noProof w:val="0"/>
          <w:rtl/>
        </w:rPr>
        <w:t xml:space="preserve">עמד בית המשפט בעניין ארנס </w:t>
      </w:r>
      <w:r w:rsidR="00196429">
        <w:rPr>
          <w:rFonts w:ascii="Arial" w:hAnsi="Arial" w:hint="cs"/>
          <w:noProof w:val="0"/>
          <w:rtl/>
        </w:rPr>
        <w:t>(</w:t>
      </w:r>
      <w:r w:rsidR="00C031C6">
        <w:rPr>
          <w:rFonts w:ascii="Arial" w:hAnsi="Arial" w:hint="cs"/>
          <w:noProof w:val="0"/>
          <w:rtl/>
        </w:rPr>
        <w:t>פסקה</w:t>
      </w:r>
      <w:r w:rsidR="00234A2F">
        <w:rPr>
          <w:rFonts w:ascii="Arial" w:hAnsi="Arial" w:hint="cs"/>
          <w:noProof w:val="0"/>
          <w:rtl/>
        </w:rPr>
        <w:t xml:space="preserve"> </w:t>
      </w:r>
      <w:r w:rsidR="00C031C6">
        <w:rPr>
          <w:rFonts w:ascii="Arial" w:hAnsi="Arial" w:hint="cs"/>
          <w:noProof w:val="0"/>
          <w:rtl/>
        </w:rPr>
        <w:t>8</w:t>
      </w:r>
      <w:r w:rsidR="00234A2F">
        <w:rPr>
          <w:rFonts w:ascii="Arial" w:hAnsi="Arial" w:hint="cs"/>
          <w:noProof w:val="0"/>
          <w:rtl/>
        </w:rPr>
        <w:t>)</w:t>
      </w:r>
      <w:r w:rsidR="00C031C6">
        <w:rPr>
          <w:rFonts w:ascii="Arial" w:hAnsi="Arial" w:hint="cs"/>
          <w:noProof w:val="0"/>
          <w:rtl/>
        </w:rPr>
        <w:t xml:space="preserve">: </w:t>
      </w:r>
    </w:p>
    <w:p w:rsidR="00196429" w:rsidRDefault="00196429" w:rsidP="00C031C6">
      <w:pPr>
        <w:spacing w:line="360" w:lineRule="auto"/>
        <w:ind w:left="2160"/>
        <w:jc w:val="both"/>
        <w:rPr>
          <w:rFonts w:ascii="Arial" w:hAnsi="Arial"/>
          <w:b/>
          <w:bCs/>
          <w:noProof w:val="0"/>
          <w:rtl/>
        </w:rPr>
      </w:pPr>
    </w:p>
    <w:p w:rsidR="00C031C6" w:rsidRDefault="00C031C6" w:rsidP="00196429">
      <w:pPr>
        <w:spacing w:line="360" w:lineRule="auto"/>
        <w:ind w:left="2160"/>
        <w:jc w:val="both"/>
        <w:rPr>
          <w:rFonts w:ascii="Arial" w:hAnsi="Arial"/>
          <w:b/>
          <w:bCs/>
          <w:noProof w:val="0"/>
          <w:rtl/>
        </w:rPr>
      </w:pPr>
      <w:r w:rsidRPr="00C031C6">
        <w:rPr>
          <w:rFonts w:ascii="Arial" w:hAnsi="Arial" w:hint="cs"/>
          <w:b/>
          <w:bCs/>
          <w:noProof w:val="0"/>
          <w:rtl/>
        </w:rPr>
        <w:t>"8.</w:t>
      </w:r>
      <w:r>
        <w:rPr>
          <w:rFonts w:ascii="Arial" w:hAnsi="Arial" w:hint="cs"/>
          <w:b/>
          <w:bCs/>
          <w:noProof w:val="0"/>
          <w:rtl/>
        </w:rPr>
        <w:t xml:space="preserve"> </w:t>
      </w:r>
      <w:r w:rsidRPr="00C031C6">
        <w:rPr>
          <w:rFonts w:ascii="Arial" w:hAnsi="Arial" w:hint="cs"/>
          <w:b/>
          <w:bCs/>
          <w:noProof w:val="0"/>
          <w:rtl/>
        </w:rPr>
        <w:t>ההחלטה, אם להעניק סעד זמני אם לאו, נתונה לשיקול דעתו של בית המשפט, ובהעניקו סעד שבשיקול דעת, מוסמך בית</w:t>
      </w:r>
      <w:r w:rsidR="00196429">
        <w:rPr>
          <w:rFonts w:ascii="Arial" w:hAnsi="Arial" w:hint="cs"/>
          <w:b/>
          <w:bCs/>
          <w:noProof w:val="0"/>
          <w:rtl/>
        </w:rPr>
        <w:t xml:space="preserve"> </w:t>
      </w:r>
      <w:r w:rsidRPr="00C031C6">
        <w:rPr>
          <w:rFonts w:ascii="Arial" w:hAnsi="Arial" w:hint="cs"/>
          <w:b/>
          <w:bCs/>
          <w:noProof w:val="0"/>
          <w:rtl/>
        </w:rPr>
        <w:t xml:space="preserve">המשפט להתנותו בתנאים שונים, כפי שייראה לו הדבר צודק בנסיבות העניין. על מנת לאזן בין האינטרסים המנוגדים של מבקש הסעד הזמני, מחד גיסא, לבין אלו של הצד שכנגד, אשר זכויותיו הוגבלו בטרם ניתן פסק דין, מאידך גיסא, מפעיל בית המשפט </w:t>
      </w:r>
      <w:r w:rsidRPr="00C031C6">
        <w:rPr>
          <w:rFonts w:ascii="Arial" w:hAnsi="Arial" w:hint="cs"/>
          <w:b/>
          <w:bCs/>
          <w:noProof w:val="0"/>
          <w:rtl/>
        </w:rPr>
        <w:lastRenderedPageBreak/>
        <w:t>את הסמכות הנזכרת, ומתנה את מתן הסעד הזמני בהתחייבות, מטעם המבקש, לשפות את הצד שכנגד, ולעיתים גם את הצד השלישי, שעלול להיפגע (ראה תקנה 257, סיפא לתקנות סדר הדין האזרחי), בגין הנזקים שיגרמו לו"</w:t>
      </w:r>
      <w:r>
        <w:rPr>
          <w:rFonts w:ascii="Arial" w:hAnsi="Arial" w:hint="cs"/>
          <w:b/>
          <w:bCs/>
          <w:noProof w:val="0"/>
          <w:rtl/>
        </w:rPr>
        <w:t xml:space="preserve">. </w:t>
      </w:r>
    </w:p>
    <w:p w:rsidR="008A7651" w:rsidRDefault="008A7651" w:rsidP="008A7651">
      <w:pPr>
        <w:spacing w:line="360" w:lineRule="auto"/>
        <w:jc w:val="both"/>
        <w:rPr>
          <w:rFonts w:ascii="Arial" w:hAnsi="Arial"/>
          <w:b/>
          <w:bCs/>
          <w:noProof w:val="0"/>
          <w:rtl/>
        </w:rPr>
      </w:pPr>
    </w:p>
    <w:p w:rsidR="008A7651" w:rsidRDefault="008A7651" w:rsidP="00397979">
      <w:pPr>
        <w:spacing w:line="360" w:lineRule="auto"/>
        <w:ind w:left="720"/>
        <w:jc w:val="both"/>
        <w:rPr>
          <w:rFonts w:ascii="Arial" w:hAnsi="Arial"/>
          <w:noProof w:val="0"/>
          <w:rtl/>
        </w:rPr>
      </w:pPr>
      <w:r w:rsidRPr="008A7651">
        <w:rPr>
          <w:rFonts w:ascii="Arial" w:hAnsi="Arial" w:hint="cs"/>
          <w:noProof w:val="0"/>
          <w:rtl/>
        </w:rPr>
        <w:t>ראו לעניין ז</w:t>
      </w:r>
      <w:r>
        <w:rPr>
          <w:rFonts w:ascii="Arial" w:hAnsi="Arial" w:hint="cs"/>
          <w:noProof w:val="0"/>
          <w:rtl/>
        </w:rPr>
        <w:t xml:space="preserve">ה את פסק הדין בע"א </w:t>
      </w:r>
      <w:r w:rsidR="00397979">
        <w:rPr>
          <w:rFonts w:ascii="Arial" w:hAnsi="Arial" w:hint="cs"/>
          <w:noProof w:val="0"/>
          <w:rtl/>
        </w:rPr>
        <w:t xml:space="preserve">4842/23 </w:t>
      </w:r>
      <w:r w:rsidR="00397979">
        <w:rPr>
          <w:rFonts w:ascii="Arial" w:hAnsi="Arial" w:hint="cs"/>
          <w:b/>
          <w:bCs/>
          <w:noProof w:val="0"/>
          <w:rtl/>
        </w:rPr>
        <w:t xml:space="preserve">חברת אבי אלקיים בע"מ נ' הממונה על הליכי חדלות פירעון </w:t>
      </w:r>
      <w:r w:rsidR="00397979">
        <w:rPr>
          <w:rFonts w:ascii="Arial" w:hAnsi="Arial" w:hint="cs"/>
          <w:noProof w:val="0"/>
          <w:rtl/>
        </w:rPr>
        <w:t>(28.11.24). באותו עניין סברו שופטי הרוב כי בית המשפט של חדלות פירעון הדן בבקשה למתן צו לפתיחת הליכים על ידי תאגיד, בעל מאפיינים מסוימים, רשאי להורות במקרים מתאימים על הפקדת ערובה להוצאות</w:t>
      </w:r>
      <w:r w:rsidR="00087223">
        <w:rPr>
          <w:rFonts w:ascii="Arial" w:hAnsi="Arial" w:hint="cs"/>
          <w:noProof w:val="0"/>
          <w:rtl/>
        </w:rPr>
        <w:t>,</w:t>
      </w:r>
      <w:r w:rsidR="00397979">
        <w:rPr>
          <w:rFonts w:ascii="Arial" w:hAnsi="Arial" w:hint="cs"/>
          <w:noProof w:val="0"/>
          <w:rtl/>
        </w:rPr>
        <w:t xml:space="preserve"> כתנאי למתן הצו לפתיחת הליכים. כב' השופט </w:t>
      </w:r>
      <w:r w:rsidR="00196429">
        <w:rPr>
          <w:rFonts w:ascii="Arial" w:hAnsi="Arial" w:hint="cs"/>
          <w:noProof w:val="0"/>
          <w:rtl/>
        </w:rPr>
        <w:t xml:space="preserve">ד' </w:t>
      </w:r>
      <w:r w:rsidR="00397979">
        <w:rPr>
          <w:rFonts w:ascii="Arial" w:hAnsi="Arial" w:hint="cs"/>
          <w:noProof w:val="0"/>
          <w:rtl/>
        </w:rPr>
        <w:t>מינץ הגיע למסקנתו אף מבלי להידרש לשאלה האם די בהכרה בסמכותו הטבועה של בית המשפט לצורך חיוב יוזם ההליך בהפקדת ערובה (תוך הפניה לעניין ארנס), תוך אבחנה בין התנאים המהותיים למתן הצו לבין התנאים הדיוניים ואילו כב' השופט י. כשר סבר כי הוראת החוק שעניינה התנאים למתן הצו לא יצרה הסדר שלי</w:t>
      </w:r>
      <w:r w:rsidR="00562D98">
        <w:rPr>
          <w:rFonts w:ascii="Arial" w:hAnsi="Arial" w:hint="cs"/>
          <w:noProof w:val="0"/>
          <w:rtl/>
        </w:rPr>
        <w:t>לי ועל כן בית המשפט מוסמך להורות על הפקדת ערובה, בנסיבות המתאימות</w:t>
      </w:r>
      <w:r w:rsidR="00196429">
        <w:rPr>
          <w:rFonts w:ascii="Arial" w:hAnsi="Arial" w:hint="cs"/>
          <w:noProof w:val="0"/>
          <w:rtl/>
        </w:rPr>
        <w:t>,</w:t>
      </w:r>
      <w:r w:rsidR="00562D98">
        <w:rPr>
          <w:rFonts w:ascii="Arial" w:hAnsi="Arial" w:hint="cs"/>
          <w:noProof w:val="0"/>
          <w:rtl/>
        </w:rPr>
        <w:t xml:space="preserve"> כתנאי למתן הצו. </w:t>
      </w:r>
    </w:p>
    <w:p w:rsidR="00E933F4" w:rsidRDefault="00E933F4" w:rsidP="00E933F4">
      <w:pPr>
        <w:spacing w:line="360" w:lineRule="auto"/>
        <w:jc w:val="both"/>
        <w:rPr>
          <w:rFonts w:ascii="Arial" w:hAnsi="Arial"/>
          <w:noProof w:val="0"/>
          <w:rtl/>
        </w:rPr>
      </w:pPr>
    </w:p>
    <w:p w:rsidR="00E933F4" w:rsidRPr="00E933F4" w:rsidRDefault="00E933F4" w:rsidP="00E933F4">
      <w:pPr>
        <w:spacing w:line="360" w:lineRule="auto"/>
        <w:jc w:val="both"/>
        <w:rPr>
          <w:rFonts w:ascii="Arial" w:hAnsi="Arial"/>
          <w:b/>
          <w:bCs/>
          <w:noProof w:val="0"/>
          <w:u w:val="single"/>
          <w:rtl/>
        </w:rPr>
      </w:pPr>
      <w:r>
        <w:rPr>
          <w:rFonts w:ascii="Arial" w:hAnsi="Arial" w:hint="cs"/>
          <w:b/>
          <w:bCs/>
          <w:noProof w:val="0"/>
          <w:u w:val="single"/>
          <w:rtl/>
        </w:rPr>
        <w:t>סוף דבר</w:t>
      </w:r>
    </w:p>
    <w:p w:rsidR="00562D98" w:rsidRDefault="00562D98" w:rsidP="00397979">
      <w:pPr>
        <w:spacing w:line="360" w:lineRule="auto"/>
        <w:ind w:left="720"/>
        <w:jc w:val="both"/>
        <w:rPr>
          <w:rFonts w:ascii="Arial" w:hAnsi="Arial"/>
          <w:noProof w:val="0"/>
          <w:rtl/>
        </w:rPr>
      </w:pPr>
    </w:p>
    <w:p w:rsidR="00562D98" w:rsidRDefault="00562D98" w:rsidP="00F44F83">
      <w:pPr>
        <w:spacing w:line="360" w:lineRule="auto"/>
        <w:ind w:left="720" w:hanging="720"/>
        <w:jc w:val="both"/>
        <w:rPr>
          <w:rFonts w:ascii="Arial" w:hAnsi="Arial"/>
          <w:noProof w:val="0"/>
          <w:rtl/>
        </w:rPr>
      </w:pPr>
      <w:r>
        <w:rPr>
          <w:rFonts w:ascii="Arial" w:hAnsi="Arial" w:hint="cs"/>
          <w:noProof w:val="0"/>
          <w:rtl/>
        </w:rPr>
        <w:t>17.</w:t>
      </w:r>
      <w:r>
        <w:rPr>
          <w:rFonts w:ascii="Arial" w:hAnsi="Arial"/>
          <w:noProof w:val="0"/>
          <w:rtl/>
        </w:rPr>
        <w:tab/>
      </w:r>
      <w:r w:rsidR="00E933F4">
        <w:rPr>
          <w:rFonts w:ascii="Arial" w:hAnsi="Arial" w:hint="cs"/>
          <w:noProof w:val="0"/>
          <w:rtl/>
        </w:rPr>
        <w:t xml:space="preserve">לאור כל האמור, מצאתי לדחות את הבקשה. הואיל והסוגיה המשפטית שפורטה </w:t>
      </w:r>
      <w:r w:rsidR="00087223">
        <w:rPr>
          <w:rFonts w:ascii="Arial" w:hAnsi="Arial" w:hint="cs"/>
          <w:noProof w:val="0"/>
          <w:rtl/>
        </w:rPr>
        <w:t xml:space="preserve">לעיל </w:t>
      </w:r>
      <w:r w:rsidR="00E933F4">
        <w:rPr>
          <w:rFonts w:ascii="Arial" w:hAnsi="Arial" w:hint="cs"/>
          <w:noProof w:val="0"/>
          <w:rtl/>
        </w:rPr>
        <w:t>על ידי</w:t>
      </w:r>
      <w:r w:rsidR="00F44F83">
        <w:rPr>
          <w:rFonts w:ascii="Arial" w:hAnsi="Arial" w:hint="cs"/>
          <w:noProof w:val="0"/>
          <w:rtl/>
        </w:rPr>
        <w:t>,</w:t>
      </w:r>
      <w:r w:rsidR="00E933F4">
        <w:rPr>
          <w:rFonts w:ascii="Arial" w:hAnsi="Arial" w:hint="cs"/>
          <w:noProof w:val="0"/>
          <w:rtl/>
        </w:rPr>
        <w:t xml:space="preserve"> לא נדונה בפסיקה</w:t>
      </w:r>
      <w:r w:rsidR="00F44F83">
        <w:rPr>
          <w:rFonts w:ascii="Arial" w:hAnsi="Arial" w:hint="cs"/>
          <w:noProof w:val="0"/>
          <w:rtl/>
        </w:rPr>
        <w:t xml:space="preserve"> אשר דנה בסעיף 194 לפקודה, לא אחייב את המבקשת בהוצאות. </w:t>
      </w:r>
    </w:p>
    <w:p w:rsidR="00562D98" w:rsidRDefault="00562D98" w:rsidP="00562D98">
      <w:pPr>
        <w:spacing w:line="360" w:lineRule="auto"/>
        <w:ind w:left="720" w:hanging="720"/>
        <w:jc w:val="both"/>
        <w:rPr>
          <w:rFonts w:ascii="Arial" w:hAnsi="Arial"/>
          <w:noProof w:val="0"/>
          <w:rtl/>
        </w:rPr>
      </w:pPr>
    </w:p>
    <w:p w:rsidR="00562D98" w:rsidRDefault="00562D98" w:rsidP="00F44F83">
      <w:pPr>
        <w:spacing w:line="360" w:lineRule="auto"/>
        <w:ind w:left="720"/>
        <w:jc w:val="both"/>
        <w:rPr>
          <w:rFonts w:ascii="Arial" w:hAnsi="Arial"/>
          <w:b/>
          <w:bCs/>
          <w:noProof w:val="0"/>
          <w:rtl/>
        </w:rPr>
      </w:pPr>
      <w:r w:rsidRPr="00562D98">
        <w:rPr>
          <w:rFonts w:ascii="Arial" w:hAnsi="Arial" w:hint="cs"/>
          <w:b/>
          <w:bCs/>
          <w:noProof w:val="0"/>
          <w:rtl/>
        </w:rPr>
        <w:t xml:space="preserve">המזכירות תמציא ההחלטה לב"כ הצדדים. </w:t>
      </w:r>
    </w:p>
    <w:p w:rsidR="005F2A02" w:rsidRDefault="005F2A02" w:rsidP="00F44F83">
      <w:pPr>
        <w:spacing w:line="360" w:lineRule="auto"/>
        <w:ind w:left="720"/>
        <w:jc w:val="both"/>
        <w:rPr>
          <w:rFonts w:ascii="Arial" w:hAnsi="Arial"/>
          <w:b/>
          <w:bCs/>
          <w:noProof w:val="0"/>
          <w:rtl/>
        </w:rPr>
      </w:pPr>
    </w:p>
    <w:p w:rsidR="005F2A02" w:rsidRPr="00562D98" w:rsidRDefault="005F2A02" w:rsidP="00F44F83">
      <w:pPr>
        <w:spacing w:line="360" w:lineRule="auto"/>
        <w:ind w:left="720"/>
        <w:jc w:val="both"/>
        <w:rPr>
          <w:rFonts w:ascii="Arial" w:hAnsi="Arial"/>
          <w:b/>
          <w:bCs/>
          <w:noProof w:val="0"/>
          <w:rtl/>
        </w:rPr>
      </w:pPr>
      <w:r w:rsidRPr="002C2DAF">
        <w:rPr>
          <w:rFonts w:ascii="Arial" w:hAnsi="Arial" w:hint="cs"/>
          <w:noProof w:val="0"/>
          <w:rtl/>
        </w:rPr>
        <w:lastRenderedPageBreak/>
        <w:t>ניתן לפרסם את ההחלטה</w:t>
      </w:r>
      <w:r>
        <w:rPr>
          <w:rFonts w:ascii="Arial" w:hAnsi="Arial" w:hint="cs"/>
          <w:b/>
          <w:bCs/>
          <w:noProof w:val="0"/>
          <w:rtl/>
        </w:rPr>
        <w:t>.</w:t>
      </w:r>
    </w:p>
    <w:p w:rsidR="00694556" w:rsidRDefault="00694556">
      <w:pPr>
        <w:spacing w:line="360" w:lineRule="auto"/>
        <w:jc w:val="both"/>
        <w:rPr>
          <w:rFonts w:ascii="Arial" w:hAnsi="Arial"/>
          <w:noProof w:val="0"/>
          <w:rtl/>
        </w:rPr>
      </w:pPr>
    </w:p>
    <w:p w:rsidR="00694556" w:rsidRDefault="0043502B" w:rsidP="00F44F83">
      <w:pPr>
        <w:spacing w:line="360" w:lineRule="auto"/>
        <w:ind w:firstLine="720"/>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893471330"/>
          <w:text w:multiLine="1"/>
        </w:sdtPr>
        <w:sdtEndPr/>
        <w:sdtContent>
          <w:r>
            <w:rPr>
              <w:rFonts w:ascii="Arial" w:hAnsi="Arial" w:hint="cs"/>
              <w:noProof w:val="0"/>
              <w:rtl/>
            </w:rPr>
            <w:t>ט' טבת תשפ"ה</w:t>
          </w:r>
        </w:sdtContent>
      </w:sdt>
      <w:r w:rsidR="00005C8B">
        <w:rPr>
          <w:rFonts w:ascii="Arial" w:hAnsi="Arial"/>
          <w:noProof w:val="0"/>
          <w:rtl/>
        </w:rPr>
        <w:t xml:space="preserve">, </w:t>
      </w:r>
      <w:sdt>
        <w:sdtPr>
          <w:rPr>
            <w:rtl/>
          </w:rPr>
          <w:alias w:val="1456"/>
          <w:tag w:val="1456"/>
          <w:id w:val="980119198"/>
          <w:text w:multiLine="1"/>
        </w:sdtPr>
        <w:sdtEndPr/>
        <w:sdtContent>
          <w:r>
            <w:rPr>
              <w:rFonts w:ascii="Arial" w:hAnsi="Arial" w:hint="cs"/>
              <w:noProof w:val="0"/>
              <w:rtl/>
            </w:rPr>
            <w:t>09 ינואר 2025</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tbl>
      <w:tblPr>
        <w:tblStyle w:val="a9"/>
        <w:bidiVisual/>
        <w:tblW w:w="0" w:type="auto"/>
        <w:tblInd w:w="421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F44F83" w:rsidTr="00F44F83">
        <w:trPr>
          <w:trHeight w:val="364"/>
        </w:trPr>
        <w:tc>
          <w:tcPr>
            <w:tcW w:w="3708" w:type="dxa"/>
            <w:tcBorders>
              <w:top w:val="nil"/>
              <w:left w:val="nil"/>
              <w:bottom w:val="single" w:sz="4" w:space="0" w:color="auto"/>
              <w:right w:val="nil"/>
            </w:tcBorders>
          </w:tcPr>
          <w:p w:rsidR="00F44F83" w:rsidRDefault="00DD7EEC">
            <w:pPr>
              <w:jc w:val="center"/>
              <w:rPr>
                <w:noProof w:val="0"/>
              </w:rPr>
            </w:pPr>
            <w:sdt>
              <w:sdtPr>
                <w:rPr>
                  <w:rFonts w:cs="Times New Roman"/>
                  <w:rtl/>
                </w:rPr>
                <w:alias w:val="MergeField"/>
                <w:tag w:val="2144"/>
                <w:id w:val="-280428779"/>
              </w:sdtPr>
              <w:sdtEndPr/>
              <w:sdtContent>
                <w:r w:rsidR="00F44F83">
                  <w:drawing>
                    <wp:inline distT="0" distB="0" distL="0" distR="0">
                      <wp:extent cx="1514475" cy="5715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475" cy="571500"/>
                              </a:xfrm>
                              <a:prstGeom prst="rect">
                                <a:avLst/>
                              </a:prstGeom>
                              <a:noFill/>
                              <a:ln>
                                <a:noFill/>
                              </a:ln>
                            </pic:spPr>
                          </pic:pic>
                        </a:graphicData>
                      </a:graphic>
                    </wp:inline>
                  </w:drawing>
                </w:r>
              </w:sdtContent>
            </w:sdt>
          </w:p>
          <w:p w:rsidR="00F44F83" w:rsidRDefault="00F44F83">
            <w:pPr>
              <w:jc w:val="center"/>
              <w:rPr>
                <w:sz w:val="26"/>
                <w:szCs w:val="26"/>
                <w:rtl/>
              </w:rPr>
            </w:pPr>
          </w:p>
        </w:tc>
      </w:tr>
      <w:tr w:rsidR="00F44F83" w:rsidTr="00F44F83">
        <w:trPr>
          <w:trHeight w:val="415"/>
        </w:trPr>
        <w:tc>
          <w:tcPr>
            <w:tcW w:w="3708" w:type="dxa"/>
            <w:tcBorders>
              <w:top w:val="single" w:sz="4" w:space="0" w:color="auto"/>
              <w:left w:val="nil"/>
              <w:bottom w:val="nil"/>
              <w:right w:val="nil"/>
            </w:tcBorders>
            <w:hideMark/>
          </w:tcPr>
          <w:p w:rsidR="00F44F83" w:rsidRDefault="00DD7EEC">
            <w:pPr>
              <w:jc w:val="center"/>
              <w:rPr>
                <w:b/>
                <w:bCs/>
                <w:sz w:val="26"/>
                <w:szCs w:val="26"/>
              </w:rPr>
            </w:pPr>
            <w:sdt>
              <w:sdtPr>
                <w:rPr>
                  <w:rFonts w:hint="cs"/>
                  <w:rtl/>
                </w:rPr>
                <w:alias w:val="2141"/>
                <w:tag w:val="2141"/>
                <w:id w:val="424146769"/>
                <w:text w:multiLine="1"/>
              </w:sdtPr>
              <w:sdtEndPr/>
              <w:sdtContent>
                <w:r w:rsidR="00F44F83">
                  <w:rPr>
                    <w:rFonts w:hint="cs"/>
                    <w:b/>
                    <w:bCs/>
                    <w:sz w:val="26"/>
                    <w:szCs w:val="26"/>
                    <w:rtl/>
                  </w:rPr>
                  <w:t>אביגדור</w:t>
                </w:r>
              </w:sdtContent>
            </w:sdt>
            <w:r w:rsidR="00F44F83">
              <w:rPr>
                <w:rFonts w:hint="cs"/>
                <w:b/>
                <w:bCs/>
                <w:sz w:val="26"/>
                <w:szCs w:val="26"/>
                <w:rtl/>
              </w:rPr>
              <w:t xml:space="preserve"> </w:t>
            </w:r>
            <w:sdt>
              <w:sdtPr>
                <w:rPr>
                  <w:rFonts w:cs="Times New Roman"/>
                  <w:rtl/>
                </w:rPr>
                <w:alias w:val="2142"/>
                <w:tag w:val="2142"/>
                <w:id w:val="1434550607"/>
                <w:text w:multiLine="1"/>
              </w:sdtPr>
              <w:sdtEndPr/>
              <w:sdtContent>
                <w:r w:rsidR="00F44F83">
                  <w:rPr>
                    <w:b/>
                    <w:bCs/>
                    <w:sz w:val="26"/>
                    <w:szCs w:val="26"/>
                    <w:rtl/>
                  </w:rPr>
                  <w:t>דורות</w:t>
                </w:r>
              </w:sdtContent>
            </w:sdt>
            <w:r w:rsidR="00F44F83">
              <w:rPr>
                <w:rFonts w:hint="cs"/>
                <w:b/>
                <w:bCs/>
                <w:sz w:val="26"/>
                <w:szCs w:val="26"/>
                <w:rtl/>
              </w:rPr>
              <w:t xml:space="preserve">, </w:t>
            </w:r>
            <w:sdt>
              <w:sdtPr>
                <w:rPr>
                  <w:rFonts w:cs="Times New Roman"/>
                  <w:rtl/>
                </w:rPr>
                <w:alias w:val="2143"/>
                <w:tag w:val="2143"/>
                <w:id w:val="148415121"/>
                <w:text w:multiLine="1"/>
              </w:sdtPr>
              <w:sdtEndPr/>
              <w:sdtContent>
                <w:r w:rsidR="00F44F83">
                  <w:rPr>
                    <w:b/>
                    <w:bCs/>
                    <w:sz w:val="26"/>
                    <w:szCs w:val="26"/>
                    <w:rtl/>
                  </w:rPr>
                  <w:t>שופט</w:t>
                </w:r>
              </w:sdtContent>
            </w:sdt>
          </w:p>
        </w:tc>
      </w:tr>
    </w:tbl>
    <w:p w:rsidR="00F44F83" w:rsidRDefault="00F44F83" w:rsidP="00F44F83">
      <w:pPr>
        <w:ind w:left="4212"/>
        <w:jc w:val="both"/>
        <w:rPr>
          <w:rFonts w:ascii="David" w:eastAsia="David" w:hAnsi="David"/>
          <w:sz w:val="26"/>
          <w:szCs w:val="26"/>
          <w:rtl/>
        </w:rPr>
      </w:pPr>
    </w:p>
    <w:p w:rsidR="00F44F83" w:rsidRDefault="00F44F83" w:rsidP="00F44F83">
      <w:pPr>
        <w:ind w:left="4212"/>
        <w:rPr>
          <w:rtl/>
        </w:rPr>
      </w:pPr>
    </w:p>
    <w:p w:rsidR="00694556" w:rsidRDefault="00694556" w:rsidP="00F44F83">
      <w:pPr>
        <w:spacing w:line="360" w:lineRule="auto"/>
        <w:ind w:left="4212"/>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8"/>
      <w:footerReference w:type="default" r:id="rId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EEC" w:rsidRDefault="00DD7EEC">
      <w:r>
        <w:separator/>
      </w:r>
    </w:p>
  </w:endnote>
  <w:endnote w:type="continuationSeparator" w:id="0">
    <w:p w:rsidR="00DD7EEC" w:rsidRDefault="00DD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34511">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07E6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07E6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EEC" w:rsidRDefault="00DD7EEC">
      <w:r>
        <w:separator/>
      </w:r>
    </w:p>
  </w:footnote>
  <w:footnote w:type="continuationSeparator" w:id="0">
    <w:p w:rsidR="00DD7EEC" w:rsidRDefault="00DD7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220EE">
    <w:pPr>
      <w:pStyle w:val="a3"/>
      <w:jc w:val="center"/>
      <w:rPr>
        <w:rFonts w:cs="FrankRuehl"/>
        <w:noProof w:val="0"/>
        <w:sz w:val="28"/>
        <w:szCs w:val="28"/>
        <w:rtl/>
      </w:rPr>
    </w:pPr>
    <w:r>
      <w:rPr>
        <w:rFonts w:cs="FrankRuehl"/>
        <w:sz w:val="28"/>
        <w:szCs w:val="28"/>
      </w:rPr>
      <w:drawing>
        <wp:inline distT="0" distB="0" distL="0" distR="0" wp14:anchorId="36A1687E" wp14:editId="69328B2E">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3"/>
      <w:gridCol w:w="3592"/>
    </w:tblGrid>
    <w:tr w:rsidR="00694556">
      <w:trPr>
        <w:trHeight w:hRule="exact" w:val="418"/>
        <w:jc w:val="center"/>
      </w:trPr>
      <w:tc>
        <w:tcPr>
          <w:tcW w:w="8721" w:type="dxa"/>
          <w:gridSpan w:val="2"/>
        </w:tcPr>
        <w:p w:rsidR="00694556" w:rsidRDefault="001B3D05">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596214092"/>
          <w:text/>
        </w:sdtPr>
        <w:sdtEndPr/>
        <w:sdtContent>
          <w:tc>
            <w:tcPr>
              <w:tcW w:w="3674" w:type="dxa"/>
            </w:tcPr>
            <w:p w:rsidR="00694556" w:rsidRDefault="004D4FB8" w:rsidP="004D4FB8">
              <w:pPr>
                <w:pStyle w:val="a3"/>
                <w:jc w:val="right"/>
                <w:rPr>
                  <w:b/>
                  <w:bCs/>
                  <w:noProof w:val="0"/>
                  <w:sz w:val="26"/>
                  <w:szCs w:val="26"/>
                  <w:rtl/>
                </w:rPr>
              </w:pPr>
              <w:r>
                <w:rPr>
                  <w:rFonts w:hint="cs"/>
                  <w:b/>
                  <w:bCs/>
                  <w:noProof w:val="0"/>
                  <w:sz w:val="26"/>
                  <w:szCs w:val="26"/>
                  <w:rtl/>
                </w:rPr>
                <w:t>09 ינואר 2025</w:t>
              </w:r>
            </w:p>
          </w:tc>
        </w:sdtContent>
      </w:sdt>
    </w:tr>
    <w:tr w:rsidR="00694556">
      <w:trPr>
        <w:trHeight w:val="337"/>
        <w:jc w:val="center"/>
      </w:trPr>
      <w:tc>
        <w:tcPr>
          <w:tcW w:w="8721" w:type="dxa"/>
          <w:gridSpan w:val="2"/>
        </w:tcPr>
        <w:p w:rsidR="00694556" w:rsidRDefault="00DD7EEC">
          <w:pPr>
            <w:rPr>
              <w:b/>
              <w:bCs/>
              <w:noProof w:val="0"/>
              <w:sz w:val="26"/>
              <w:szCs w:val="26"/>
              <w:rtl/>
            </w:rPr>
          </w:pPr>
          <w:sdt>
            <w:sdtPr>
              <w:rPr>
                <w:rtl/>
              </w:rPr>
              <w:alias w:val="1170"/>
              <w:tag w:val="1170"/>
              <w:id w:val="-1719432657"/>
              <w:text w:multiLine="1"/>
            </w:sdtPr>
            <w:sdtEndPr/>
            <w:sdtContent>
              <w:r w:rsidR="00D06F79">
                <w:rPr>
                  <w:b/>
                  <w:bCs/>
                  <w:noProof w:val="0"/>
                  <w:sz w:val="26"/>
                  <w:szCs w:val="26"/>
                  <w:rtl/>
                </w:rPr>
                <w:t>ע"מ</w:t>
              </w:r>
            </w:sdtContent>
          </w:sdt>
          <w:r w:rsidR="00005C8B">
            <w:rPr>
              <w:b/>
              <w:bCs/>
              <w:noProof w:val="0"/>
              <w:sz w:val="26"/>
              <w:szCs w:val="26"/>
              <w:rtl/>
            </w:rPr>
            <w:t xml:space="preserve"> </w:t>
          </w:r>
          <w:sdt>
            <w:sdtPr>
              <w:rPr>
                <w:rtl/>
              </w:rPr>
              <w:alias w:val="1171"/>
              <w:tag w:val="1171"/>
              <w:id w:val="-2144187032"/>
              <w:text w:multiLine="1"/>
            </w:sdtPr>
            <w:sdtEndPr/>
            <w:sdtContent>
              <w:r w:rsidR="00D06F79">
                <w:rPr>
                  <w:b/>
                  <w:bCs/>
                  <w:noProof w:val="0"/>
                  <w:sz w:val="26"/>
                  <w:szCs w:val="26"/>
                  <w:rtl/>
                </w:rPr>
                <w:t>40606-04-17</w:t>
              </w:r>
            </w:sdtContent>
          </w:sdt>
          <w:r w:rsidR="00005C8B">
            <w:rPr>
              <w:b/>
              <w:bCs/>
              <w:noProof w:val="0"/>
              <w:sz w:val="26"/>
              <w:szCs w:val="26"/>
              <w:rtl/>
            </w:rPr>
            <w:t xml:space="preserve"> </w:t>
          </w:r>
          <w:sdt>
            <w:sdtPr>
              <w:rPr>
                <w:rtl/>
              </w:rPr>
              <w:alias w:val="1172"/>
              <w:tag w:val="1172"/>
              <w:id w:val="-396353733"/>
              <w:text w:multiLine="1"/>
            </w:sdtPr>
            <w:sdtEndPr/>
            <w:sdtContent>
              <w:r w:rsidR="00D06F79">
                <w:rPr>
                  <w:b/>
                  <w:bCs/>
                  <w:noProof w:val="0"/>
                  <w:sz w:val="26"/>
                  <w:szCs w:val="26"/>
                  <w:rtl/>
                </w:rPr>
                <w:t>יצחק י גליק בע'מ נ' פקיד שומה ירושלים</w:t>
              </w:r>
            </w:sdtContent>
          </w:sdt>
        </w:p>
        <w:p w:rsidR="00694556" w:rsidRDefault="00694556">
          <w:pPr>
            <w:rPr>
              <w:rtl/>
            </w:rPr>
          </w:pPr>
        </w:p>
        <w:p w:rsidR="00410E5E" w:rsidRDefault="00410E5E">
          <w:pPr>
            <w:rPr>
              <w:rtl/>
            </w:rPr>
          </w:pP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564AB"/>
    <w:rsid w:val="00064FBD"/>
    <w:rsid w:val="00087223"/>
    <w:rsid w:val="00096AF7"/>
    <w:rsid w:val="000C3B0F"/>
    <w:rsid w:val="000F0BC8"/>
    <w:rsid w:val="00107E6D"/>
    <w:rsid w:val="00144D2A"/>
    <w:rsid w:val="00180519"/>
    <w:rsid w:val="00196429"/>
    <w:rsid w:val="001B3D05"/>
    <w:rsid w:val="001C4003"/>
    <w:rsid w:val="001D64B0"/>
    <w:rsid w:val="002265FF"/>
    <w:rsid w:val="00234A2F"/>
    <w:rsid w:val="00234C38"/>
    <w:rsid w:val="00286B09"/>
    <w:rsid w:val="002C2DAF"/>
    <w:rsid w:val="00320433"/>
    <w:rsid w:val="0036743F"/>
    <w:rsid w:val="00367E2B"/>
    <w:rsid w:val="003856EE"/>
    <w:rsid w:val="00397979"/>
    <w:rsid w:val="00407E63"/>
    <w:rsid w:val="00410E5E"/>
    <w:rsid w:val="0043125D"/>
    <w:rsid w:val="0043502B"/>
    <w:rsid w:val="00480B21"/>
    <w:rsid w:val="00495B34"/>
    <w:rsid w:val="004B79B1"/>
    <w:rsid w:val="004C4BDF"/>
    <w:rsid w:val="004D4FB8"/>
    <w:rsid w:val="004E4D82"/>
    <w:rsid w:val="004E6E3C"/>
    <w:rsid w:val="004F0777"/>
    <w:rsid w:val="005268F6"/>
    <w:rsid w:val="00547DB7"/>
    <w:rsid w:val="00562D98"/>
    <w:rsid w:val="00580623"/>
    <w:rsid w:val="005F2A02"/>
    <w:rsid w:val="006220EE"/>
    <w:rsid w:val="00622BAA"/>
    <w:rsid w:val="00671BD5"/>
    <w:rsid w:val="006805C1"/>
    <w:rsid w:val="00694556"/>
    <w:rsid w:val="006E1A53"/>
    <w:rsid w:val="007C1072"/>
    <w:rsid w:val="007E6115"/>
    <w:rsid w:val="007E74FF"/>
    <w:rsid w:val="00820005"/>
    <w:rsid w:val="00884E93"/>
    <w:rsid w:val="00896889"/>
    <w:rsid w:val="008A7651"/>
    <w:rsid w:val="008C5714"/>
    <w:rsid w:val="00903896"/>
    <w:rsid w:val="00906F3D"/>
    <w:rsid w:val="00953738"/>
    <w:rsid w:val="00956836"/>
    <w:rsid w:val="00A76E59"/>
    <w:rsid w:val="00A77BE0"/>
    <w:rsid w:val="00A94B64"/>
    <w:rsid w:val="00AC06CB"/>
    <w:rsid w:val="00AC5209"/>
    <w:rsid w:val="00B34511"/>
    <w:rsid w:val="00B80CBD"/>
    <w:rsid w:val="00B86096"/>
    <w:rsid w:val="00BC17B6"/>
    <w:rsid w:val="00BD0A84"/>
    <w:rsid w:val="00BF1908"/>
    <w:rsid w:val="00C031C6"/>
    <w:rsid w:val="00C22D93"/>
    <w:rsid w:val="00C34482"/>
    <w:rsid w:val="00C63E89"/>
    <w:rsid w:val="00CC15F9"/>
    <w:rsid w:val="00D06F79"/>
    <w:rsid w:val="00D1321F"/>
    <w:rsid w:val="00D23899"/>
    <w:rsid w:val="00D33B86"/>
    <w:rsid w:val="00D53924"/>
    <w:rsid w:val="00D95135"/>
    <w:rsid w:val="00D96D8C"/>
    <w:rsid w:val="00DA6649"/>
    <w:rsid w:val="00DD7EEC"/>
    <w:rsid w:val="00E47AA3"/>
    <w:rsid w:val="00E54642"/>
    <w:rsid w:val="00E933F4"/>
    <w:rsid w:val="00EC37E9"/>
    <w:rsid w:val="00F16668"/>
    <w:rsid w:val="00F44F83"/>
    <w:rsid w:val="00F84B6D"/>
    <w:rsid w:val="00FA28D9"/>
    <w:rsid w:val="00FB07C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820A4A-7E16-4A95-84D4-58B3B99E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06F79"/>
    <w:rPr>
      <w:color w:val="808080"/>
    </w:rPr>
  </w:style>
  <w:style w:type="paragraph" w:styleId="ad">
    <w:name w:val="List Paragraph"/>
    <w:basedOn w:val="a"/>
    <w:uiPriority w:val="34"/>
    <w:qFormat/>
    <w:rsid w:val="004B79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0556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1532</Words>
  <Characters>7663</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2025-01-06T11:09:00Z</cp:lastPrinted>
  <dcterms:created xsi:type="dcterms:W3CDTF">2025-01-13T07:58:00Z</dcterms:created>
  <dcterms:modified xsi:type="dcterms:W3CDTF">2025-01-13T07:58:00Z</dcterms:modified>
</cp:coreProperties>
</file>